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Civik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PYXIS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HARRISON AVENUE, 11TH FL. SUITE 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Pyxis Oncology, Inc.</w:t>
              </w:r>
            </w:hyperlink>
            <w:r>
              <w:rPr/>
              <w:t xml:space="preserve"> [ </w:t>
            </w:r>
            <w:r>
              <w:rPr>
                <w:rFonts w:ascii="Times;serif" w:hAnsi="Times;serif"/>
                <w:color w:val="0000FF"/>
                <w:sz w:val="24"/>
                <w:shd w:fill="FFFFFF" w:val="clear"/>
              </w:rPr>
              <w:t>PYXS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966"/>
        <w:gridCol w:w="27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3.89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2,503,050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2,503,050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2,503,050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will vest over four years, with 25% vesting on the first anniversary of September 4, 2026 and the remainder vesting in 36 equal monthly installments thereafter, subject to the reporting person's continued employment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Jitendra Wadhane, Attorney-in-Fact for Thomas Civik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3092" TargetMode="External"/><Relationship Id="rId5" Type="http://schemas.openxmlformats.org/officeDocument/2006/relationships/hyperlink" Target="http://www.sec.gov/cgi-bin/browse-edgar?action=getcompany&amp;CIK=00017822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3414</Characters>
  <CharactersWithSpaces>3970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