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yxs-20260630.htm"/>
      <w:bookmarkStart w:id="1" w:name="kspyxs202606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001-40881</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Pyxis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83-1160910</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321 Harrison Avenue</w:t>
            </w:r>
          </w:p>
          <w:p>
            <w:pPr>
              <w:pStyle w:val="TableContents"/>
              <w:bidi w:val="0"/>
              <w:spacing w:before="45" w:after="15"/>
              <w:jc w:val="center"/>
              <w:rPr>
                <w:rFonts w:ascii="Times New Roman" w:hAnsi="Times New Roman"/>
                <w:b/>
                <w:color w:val="000000"/>
                <w:sz w:val="20"/>
              </w:rPr>
            </w:pPr>
            <w:r>
              <w:rPr>
                <w:rFonts w:ascii="Times New Roman" w:hAnsi="Times New Roman"/>
                <w:b/>
                <w:color w:val="000000"/>
                <w:sz w:val="20"/>
              </w:rPr>
              <w:t>Boston, Massachusetts</w:t>
            </w:r>
          </w:p>
        </w:tc>
        <w:tc>
          <w:tcPr>
            <w:tcW w:w="124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02118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453-3596</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PYXS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August 12, 2026, the registrant had 83,408,050</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26"/>
        <w:gridCol w:w="8867"/>
        <w:gridCol w:w="512"/>
      </w:tblGrid>
      <w:tr>
        <w:trPr/>
        <w:tc>
          <w:tcPr>
            <w:tcW w:w="826" w:type="dxa"/>
            <w:tcBorders/>
            <w:vAlign w:val="center"/>
          </w:tcPr>
          <w:p>
            <w:pPr>
              <w:pStyle w:val="TableContents"/>
              <w:bidi w:val="0"/>
              <w:spacing w:before="0" w:after="283"/>
              <w:jc w:val="left"/>
              <w:rPr>
                <w:sz w:val="4"/>
                <w:szCs w:val="4"/>
              </w:rPr>
            </w:pPr>
            <w:r>
              <w:rPr>
                <w:sz w:val="4"/>
                <w:szCs w:val="4"/>
              </w:rPr>
            </w:r>
          </w:p>
        </w:tc>
        <w:tc>
          <w:tcPr>
            <w:tcW w:w="88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ummary_rf">
              <w:r>
                <w:rPr>
                  <w:rStyle w:val="InternetLink"/>
                  <w:rFonts w:ascii="Times New Roman" w:hAnsi="Times New Roman"/>
                  <w:color w:val="0000FF"/>
                  <w:sz w:val="20"/>
                  <w:u w:val="single"/>
                </w:rPr>
                <w:t>Summary 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se">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ocf">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f">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80" w:after="283"/>
        <w:jc w:val="center"/>
        <w:rPr>
          <w:rFonts w:ascii="Times New Roman" w:hAnsi="Times New Roman"/>
          <w:b/>
          <w:color w:val="000000"/>
          <w:sz w:val="20"/>
        </w:rPr>
      </w:pPr>
      <w:bookmarkStart w:id="2" w:name="summary_rf"/>
      <w:bookmarkEnd w:id="2"/>
      <w:r>
        <w:rPr>
          <w:rFonts w:ascii="Times New Roman" w:hAnsi="Times New Roman"/>
          <w:b/>
          <w:color w:val="000000"/>
          <w:sz w:val="20"/>
        </w:rPr>
        <w:t>SUMMARY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consider carefully the risks described under “Risk Factors” in Part II, Item 1A of this Quarterly Report on Form 10-Q. References to “Pyxis Oncology,” the “Company,” “we,” “us,” and “our” in this section titled “Summary Risk Factors” refer to Pyxis Oncology, Inc. and its wholly owned subsidiaries. A summary of the risks that could materially and adversely affect our business, financial condition, operating results and prospects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substantial doubt about our ability to continue as a going concern and we will require substantial additional capital to finance our operations. If we are unable to raise such capital when needed, or on acceptable terms, we may not be able to continue as a going concern or we may be forced to delay, reduce or eliminate one or more of our research and product development programs or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heavily dependent on the success of our lead product candidate, micvotabart pelidotin (MICVO), formerly known as PYX-201, which is in the early stages of clinical development. If our lead product candidate is not successful in clinical trials or does not receive regulatory approval or licensure or is not successfully commercialized, our business will be materially and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significant competition from other oncology-focused biotechnology and pharmaceutical entities, and our operating results will suffer if we fail to compete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attract and retain qualified senior management and key scientific personnel, our business may be materially and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or protect our intellectual property in and to our product candidates, we may not be able to compete effectively in our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our obligations under any license, collaboration or other agreements, we may be required to pay damages and could lose intellectual property rights that are necessary for developing and protecting our product candidate or we could lose certain rights to grant sublicenses.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 we could lose the ability to continue the development and commercialization of the related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failures to comply with applicable data protection, privacy and security laws, regulations, standards and other requirements could adversely affect our business,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180" w:after="283"/>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before="180" w:after="283"/>
        <w:jc w:val="center"/>
        <w:rPr>
          <w:rFonts w:ascii="Times New Roman" w:hAnsi="Times New Roman"/>
          <w:sz w:val="20"/>
        </w:rPr>
      </w:pPr>
      <w:bookmarkStart w:id="5" w:name="balance_sheet"/>
      <w:bookmarkEnd w:id="5"/>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17"/>
        <w:gridCol w:w="146"/>
        <w:gridCol w:w="226"/>
        <w:gridCol w:w="903"/>
        <w:gridCol w:w="166"/>
        <w:gridCol w:w="146"/>
        <w:gridCol w:w="258"/>
        <w:gridCol w:w="1029"/>
        <w:gridCol w:w="614"/>
      </w:tblGrid>
      <w:tr>
        <w:trPr/>
        <w:tc>
          <w:tcPr>
            <w:tcW w:w="6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91,520</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advance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6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38,112</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$0.001 per share, 10,000,000 shares authorized; zero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190,000,000 shares authorized; 63,434,936 and 62,690,229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(443,177</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91,520</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63,991,609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61,918,826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63,695,177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61,486,290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bookmarkStart w:id="7" w:name="sse"/>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5"/>
        <w:gridCol w:w="146"/>
        <w:gridCol w:w="766"/>
        <w:gridCol w:w="146"/>
        <w:gridCol w:w="146"/>
        <w:gridCol w:w="196"/>
        <w:gridCol w:w="375"/>
        <w:gridCol w:w="146"/>
        <w:gridCol w:w="146"/>
        <w:gridCol w:w="181"/>
        <w:gridCol w:w="586"/>
        <w:gridCol w:w="151"/>
        <w:gridCol w:w="146"/>
        <w:gridCol w:w="331"/>
        <w:gridCol w:w="690"/>
        <w:gridCol w:w="151"/>
        <w:gridCol w:w="146"/>
        <w:gridCol w:w="194"/>
        <w:gridCol w:w="677"/>
        <w:gridCol w:w="151"/>
        <w:gridCol w:w="146"/>
        <w:gridCol w:w="215"/>
        <w:gridCol w:w="700"/>
        <w:gridCol w:w="198"/>
      </w:tblGrid>
      <w:tr>
        <w:trPr/>
        <w:tc>
          <w:tcPr>
            <w:tcW w:w="3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62,690,229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496,469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(443,177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53,408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restricted common stock,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(23,272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62,831,246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497,654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(466,449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31,268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restricted common stock and other awards,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(25,346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63,434,936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503,176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(491,795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11,440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59,967,814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484,077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(363,556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120,751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restricted common stock,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employee stock purchase plan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61,631,376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487,706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(384,714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103,103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restricted common stock, net of tax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(18,354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62,018,135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490,654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(403,068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87,643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bookmarkStart w:id="8" w:name="socf"/>
      <w:bookmarkEnd w:id="8"/>
      <w:r>
        <w:rPr>
          <w:rFonts w:ascii="Times New Roman" w:hAnsi="Times New Roman"/>
          <w:b/>
          <w:color w:val="000000"/>
          <w:sz w:val="20"/>
        </w:rPr>
        <w:t>Condensed Consolidated Statements of Cash Flows (In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91"/>
        <w:gridCol w:w="146"/>
        <w:gridCol w:w="220"/>
        <w:gridCol w:w="771"/>
        <w:gridCol w:w="173"/>
        <w:gridCol w:w="152"/>
        <w:gridCol w:w="220"/>
        <w:gridCol w:w="818"/>
        <w:gridCol w:w="814"/>
      </w:tblGrid>
      <w:tr>
        <w:trPr/>
        <w:tc>
          <w:tcPr>
            <w:tcW w:w="6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(44,206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(39,798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37,670</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1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31,125</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received in advance of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 payments related to net settlement of restricted common stock and other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20,327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cash, cash equivalents and restricted cash shown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20,327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12,205</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notes_to_consolidated_financial"/>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sz w:val="20"/>
        </w:rPr>
      </w:pPr>
      <w:r>
        <w:rPr>
          <w:rFonts w:ascii="Times New Roman" w:hAnsi="Times New Roman"/>
          <w:b/>
          <w:color w:val="000000"/>
          <w:sz w:val="20"/>
        </w:rPr>
        <w:t>1.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Nature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Pyxis Oncology, Inc. (the “Company”), a Delaware corporation, was founded in June 2018 and launched its operations in July 2019. The Company is a clinical stage oncology company executing on a development strategy designed to address unmet medical needs in patients with solid tumors with a specific focus on head and neck squamous cell carcinoma (HNSCC) tumors.</w:t>
      </w:r>
    </w:p>
    <w:p>
      <w:pPr>
        <w:pStyle w:val="TextBody"/>
        <w:bidi w:val="0"/>
        <w:spacing w:before="120" w:after="283"/>
        <w:jc w:val="left"/>
        <w:rPr>
          <w:rFonts w:ascii="Times New Roman" w:hAnsi="Times New Roman"/>
          <w:sz w:val="20"/>
        </w:rPr>
      </w:pPr>
      <w:r>
        <w:rPr>
          <w:rFonts w:ascii="Times New Roman" w:hAnsi="Times New Roman"/>
          <w:b/>
          <w:color w:val="000000"/>
          <w:sz w:val="20"/>
        </w:rPr>
        <w:t>2. 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fiscal year ends on December 31 and its first three fiscal quarters end on March 31, June 30 and September 30. The accompanying condensed consolidated financial statements are unaudited. The unaudited condensed consolidated financial statements of the Company have been prepared in accordance with generally accepted accounting principles in the United States of America (GAAP) and follow the requirements of the Securities and Exchange Commission (SEC) for interim financial reporting. Accordingly, they do not include all of the information and disclosures required by U.S. GAAP for complete financial statements as certain footnotes or other financial information that are normally required by U.S. GAAP can be condensed or omitted. The unaudited condensed consolidated financial statements have been prepared on the same basis as the audited consolidated financial statements. The unaudited condensed consolidated financial statements include the accounts of the Company and its wholly-owned subsidiaries. The Company has no unconsolidated subsidiaries. All intercompany balances and transactions have been eliminated in consolidation. Any reference in these notes to applicable guidance is meant to refer to the authoritative U.S. GAAP as found in the Accounting Standards Codification (ASC) and Accounting Standards Updates (ASU) of the Financial Accounting Standards Board (FASB).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opinion of management, the unaudited condensed consolidated financial statements include all normal and recurring adjustments that are considered necessary for the fair statement of results for the interim periods. The results for the three and six months ended June 30, 2026 are not necessarily indicative of those expected for the year ending December 31, 2026 or for any future period. The condensed consolidated balance sheet as of December 31, 2025 included herein was derived from the audited consolidated financial statements as of that date. These unaudited condensed consolidated financial statements should be read in conjunction with the Company’s audited consolidated financial statements and the related notes thereto for the year ended December 31, 2025, included in the Company’s Annual Report on Form 10-K filed with the SEC on March 23, 2026 (Fiscal 2025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incurred losses and negative cash flows from operations since inception, including net losses of $25.3 million and $18.4 million for the three months ended June 30, 2026 and 2025, respectively and net losses of $48.6 million and $39.5 million for the six months ended June 30, 2026 and 2025, respectively. As of June 30, 2026, the Company had an accumulated deficit of $491.8 million and cash, cash equivalents, and marketable debt securities of $33.0 million.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Subsequent to the balance sheet date, on July 2, 2026, the Company closed a private placement with certain institutional accredited investors (the "Private Placement") and received gross proceeds of approximately $50 million (of which $10.0 million was received on June 30, 2026), before deducting placement agent fees and offering expenses directly related to the Private Placement. The Company expects that its current assets as of June 30, 2026 together with the upfront proceeds from the Private Placement to be sufficient to fund its operating expenses and capital expenditure requirements into the second quarter of 2027. See Note 14, </w:t>
      </w:r>
      <w:r>
        <w:rPr>
          <w:rFonts w:ascii="Times New Roman" w:hAnsi="Times New Roman"/>
          <w:i/>
          <w:color w:val="000000"/>
          <w:sz w:val="20"/>
        </w:rPr>
        <w:t>Subsequent Event</w:t>
      </w:r>
      <w:r>
        <w:rPr>
          <w:rFonts w:ascii="Times New Roman" w:hAnsi="Times New Roman"/>
          <w:color w:val="000000"/>
          <w:sz w:val="20"/>
        </w:rPr>
        <w:t xml:space="preserve">, for further details regarding the Private Placement. The Company’s future cash flows are dependent on key variables such as its ability to secure additional sources of funding in the form of public or private financing of equity or debt, collaboration agreements, or a combination of these. While the Company remains optimistic to obtain additional funding, the current available cash, cash equivalents and marketable debt securities, even after giving effect to the proceeds received from the Private Placement, will not be sufficient to fund the Company's operations over the next 12 months from the date these unaudited condensed consolidated financial statements were included within this Quarterly Report on Form 10-Q. These conditions raise substantial doubt about the Company’s ability to continue as a going concern for one year from the date these unaudited condensed consolidated financial statements were issued.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plans to continue to fund its losses from operations and capital funding needs through public or private equity, convertible or debt financing or other sources. There are inherent uncertainties as the outcome of these potential transactions are outside management’s control, and therefore there are no assurances that any of these potential transactions will occur. In addition, there can be no assurances that these transactions will sufficiently improve the Company's liquidity or that the Company will otherwise realize the anticipated benefits.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GAAP requires management to make estimates and assumptions that affect the reported amounts of assets, liabilities, expense and related disclosures. The Company regularly evaluates estimates and assumptions related to assets, liabilities, stock-based compensation, operating leases, assessment of the useful lives of property and equipment, marketable debt securities and research and development costs, including clinical trial accruals. The Company bases its estimates and assumptions on historical experience and on various other factors that it believes to be reasonable under the circumstances, the results of which form the basis for making judgments about the carrying values of assets and liabilities that are not readily apparent from other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results could differ from those estimates and there may be changes to management’s estimates in future periods.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early clinical stage companies in the biopharmaceutical industry including, but not limited to, uncertainties related to commercialization of products, regulatory approvals, dependence on key suppliers for active ingredients and third party service providers such as contract research organizations (CROs) and contract development and manufacturing organizations (CDMOs), protection of intellectual property rights and the ability to make milestone, royalty or other payments due under any license, collaboration or supply agreements.</w:t>
      </w:r>
    </w:p>
    <w:p>
      <w:pPr>
        <w:pStyle w:val="TextBody"/>
        <w:bidi w:val="0"/>
        <w:spacing w:before="120" w:after="283"/>
        <w:jc w:val="both"/>
        <w:rPr>
          <w:rFonts w:ascii="Times New Roman" w:hAnsi="Times New Roman"/>
          <w:sz w:val="20"/>
        </w:rPr>
      </w:pPr>
      <w:r>
        <w:rPr>
          <w:rFonts w:ascii="Times New Roman" w:hAnsi="Times New Roman"/>
          <w:b/>
          <w:i/>
          <w:color w:val="000000"/>
          <w:sz w:val="20"/>
        </w:rPr>
        <w:t>Concentration of Credit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which potentially subject the Company to significant concentration of credit risk consist of cash and cash equivalents, restricted cash and marketable debt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invests its excess cash primarily in money market funds and highly liquid United States (U.S.) Treasury securities. The Company has adopted an investment policy that includes guidelines relative to credit quality, diversification and maturities to preserve principal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significant changes to the Company’s significant accounting policies disclosed in “Note 2 – Basis of Presentation and Summary of Significant Accounting Policies” of the Company’s Fiscal 2025 10-K.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amendment requires disaggregated disclosure of (i) certain costs and expenses, (ii) certain already required disclosures must be included in the same disclosure as the new disaggregation requirements and (iii) a qualitative description of the amounts not separately disaggregated. The amendments are effective for annual periods beginning after December 15, 2026, and interim periods beginning after December 15, 2027, early adoption is permitted. The Company is currently evaluating the impact of the new standard on the Company's unaudited condensed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tables present the financial instruments carried at fair value on a recurring basis as of June 30, 2026 and December 31, 2025, respectively, in accordance with the FASB ASC 820 hierarchy (in thousands): </w:t>
      </w:r>
    </w:p>
    <w:p>
      <w:pPr>
        <w:pStyle w:val="TextBody"/>
        <w:bidi w:val="0"/>
        <w:jc w:val="left"/>
        <w:rPr/>
      </w:pPr>
      <w:r>
        <w:rPr/>
        <w:t> </w:t>
      </w:r>
    </w:p>
    <w:tbl>
      <w:tblPr>
        <w:tblW w:w="6777" w:type="dxa"/>
        <w:jc w:val="left"/>
        <w:tblInd w:w="0" w:type="dxa"/>
        <w:tblLayout w:type="fixed"/>
        <w:tblCellMar>
          <w:top w:w="28" w:type="dxa"/>
          <w:left w:w="28" w:type="dxa"/>
          <w:bottom w:w="28" w:type="dxa"/>
          <w:right w:w="28" w:type="dxa"/>
        </w:tblCellMar>
      </w:tblPr>
      <w:tblGrid>
        <w:gridCol w:w="2266"/>
        <w:gridCol w:w="211"/>
        <w:gridCol w:w="676"/>
        <w:gridCol w:w="146"/>
        <w:gridCol w:w="146"/>
        <w:gridCol w:w="277"/>
        <w:gridCol w:w="458"/>
        <w:gridCol w:w="146"/>
        <w:gridCol w:w="146"/>
        <w:gridCol w:w="277"/>
        <w:gridCol w:w="458"/>
        <w:gridCol w:w="146"/>
        <w:gridCol w:w="146"/>
        <w:gridCol w:w="211"/>
        <w:gridCol w:w="67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cash equivalents represent deposits in a short-term money market fund quoted in an active market and are classified as Level 1 assets. Marketable debt securities include investments in United States Treasury securities and are classified as Level 1 assets as they are valued using quoted prices in active markets. There were no transfers between Level 1 and Level 2 of the fair value hierarchy during the periods presented.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Marketable Debt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Marketable debt securities, all of which were classified as available-for-sale, consist of the following (in thousands):</w:t>
      </w:r>
    </w:p>
    <w:tbl>
      <w:tblPr>
        <w:tblW w:w="7944" w:type="dxa"/>
        <w:jc w:val="left"/>
        <w:tblInd w:w="0" w:type="dxa"/>
        <w:tblLayout w:type="fixed"/>
        <w:tblCellMar>
          <w:top w:w="28" w:type="dxa"/>
          <w:left w:w="28" w:type="dxa"/>
          <w:bottom w:w="28" w:type="dxa"/>
          <w:right w:w="28" w:type="dxa"/>
        </w:tblCellMar>
      </w:tblPr>
      <w:tblGrid>
        <w:gridCol w:w="2266"/>
        <w:gridCol w:w="146"/>
        <w:gridCol w:w="249"/>
        <w:gridCol w:w="801"/>
        <w:gridCol w:w="146"/>
        <w:gridCol w:w="146"/>
        <w:gridCol w:w="409"/>
        <w:gridCol w:w="671"/>
        <w:gridCol w:w="146"/>
        <w:gridCol w:w="146"/>
        <w:gridCol w:w="409"/>
        <w:gridCol w:w="671"/>
        <w:gridCol w:w="166"/>
        <w:gridCol w:w="146"/>
        <w:gridCol w:w="245"/>
        <w:gridCol w:w="790"/>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Unrealized </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Unrealized </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Aggregate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remaining contractual terms of the U.S. Treasury securities were less than 12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not recognized any allowances for credit losses or impairments in relation to its marketable securities as these securities are comprised of high credit quality, investment grade securities that the Company does not intend or expect to be required to sell prior to their anticipated recovery, and the decline in fair value of these securities is attributable to factors other than credit losses.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and investment income consists of the following (in thousands):</w:t>
      </w:r>
    </w:p>
    <w:tbl>
      <w:tblPr>
        <w:tblW w:w="8732" w:type="dxa"/>
        <w:jc w:val="left"/>
        <w:tblInd w:w="0" w:type="dxa"/>
        <w:tblLayout w:type="fixed"/>
        <w:tblCellMar>
          <w:top w:w="28" w:type="dxa"/>
          <w:left w:w="28" w:type="dxa"/>
          <w:bottom w:w="28" w:type="dxa"/>
          <w:right w:w="28" w:type="dxa"/>
        </w:tblCellMar>
      </w:tblPr>
      <w:tblGrid>
        <w:gridCol w:w="3241"/>
        <w:gridCol w:w="356"/>
        <w:gridCol w:w="710"/>
        <w:gridCol w:w="246"/>
        <w:gridCol w:w="246"/>
        <w:gridCol w:w="356"/>
        <w:gridCol w:w="710"/>
        <w:gridCol w:w="146"/>
        <w:gridCol w:w="146"/>
        <w:gridCol w:w="295"/>
        <w:gridCol w:w="588"/>
        <w:gridCol w:w="204"/>
        <w:gridCol w:w="204"/>
        <w:gridCol w:w="295"/>
        <w:gridCol w:w="798"/>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net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and investment income</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information is available for evaluation by the chief operating decision maker, or decision making group, in deciding how to allocate resources in assessing performance. The Company has one reportable segment related to the development of clinical and preclinical product candidates focused on addressing unmet medical needs in patients with solid tumors with a specific focus on HNSCC tumors. The Company’s chief operating decision maker (CODM) is the Chief Executive Officer.</w:t>
      </w:r>
    </w:p>
    <w:p>
      <w:pPr>
        <w:pStyle w:val="TextBody"/>
        <w:bidi w:val="0"/>
        <w:spacing w:before="120" w:after="283"/>
        <w:jc w:val="both"/>
        <w:rPr>
          <w:rFonts w:ascii="Times New Roman" w:hAnsi="Times New Roman"/>
          <w:sz w:val="20"/>
        </w:rPr>
      </w:pPr>
      <w:r>
        <w:rPr>
          <w:rFonts w:ascii="Times New Roman" w:hAnsi="Times New Roman"/>
          <w:color w:val="000000"/>
          <w:sz w:val="20"/>
        </w:rPr>
        <w:t>The accounting policies of the single segment are the same as those described in the Company’s significant accounting policies disclosed in “</w:t>
      </w:r>
      <w:r>
        <w:rPr>
          <w:rFonts w:ascii="Times New Roman" w:hAnsi="Times New Roman"/>
          <w:i/>
          <w:color w:val="000000"/>
          <w:sz w:val="20"/>
        </w:rPr>
        <w:t>Note 2 – Basis of Presentation and Summary of Significant Accounting Policies”</w:t>
      </w:r>
      <w:r>
        <w:rPr>
          <w:rFonts w:ascii="Times New Roman" w:hAnsi="Times New Roman"/>
          <w:color w:val="000000"/>
          <w:sz w:val="20"/>
        </w:rPr>
        <w:t xml:space="preserve"> of the Company’s Fiscal 2025 10-K. The CODM assesses performance for the segment based on net loss, which is reported on the unaudited condensed consolidated statements of operations and comprehensive loss as net loss. The measure of segment assets is reported on the unaudited condensed consolidated balance sheets as total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not generated any product revenue. The Company expects to continue to incur significant expenses and operating losses for the foreseeable future as it advances the product candidate through all stages of development and clinical trials and, ultimately, seek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such, the CODM uses cash forecast models in deciding how to allocate resources.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summarizes segment net loss, including significant expenses for the three and six months ended June 30, 2026 and 2025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50"/>
        <w:gridCol w:w="211"/>
        <w:gridCol w:w="736"/>
        <w:gridCol w:w="546"/>
        <w:gridCol w:w="546"/>
        <w:gridCol w:w="211"/>
        <w:gridCol w:w="736"/>
        <w:gridCol w:w="546"/>
        <w:gridCol w:w="546"/>
        <w:gridCol w:w="211"/>
        <w:gridCol w:w="736"/>
        <w:gridCol w:w="546"/>
        <w:gridCol w:w="546"/>
        <w:gridCol w:w="211"/>
        <w:gridCol w:w="736"/>
        <w:gridCol w:w="791"/>
      </w:tblGrid>
      <w:tr>
        <w:trPr/>
        <w:tc>
          <w:tcPr>
            <w:tcW w:w="2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Milestone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Clinical product candidates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Clinical product manufacturing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Personnel-related expenses excluding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Personnel-related expenses excluding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Professional and consultant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(ii)</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income (iii)</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(39,512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profit or loss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and reconciling items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(39,512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research and development segment items include facilities expenses, lab services, professional services and technology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general and administrative segment items include facilities expenses, technology costs, insurance and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income for the three months ended June 30, 2026 and 2025 consisted of $0.3 million and $1.0 million of interest and investment income and $0.4 million and $0.7 million of sublease income, respectively. For the six months ended June 30, 2026 and 2025, other segment income consisted of $0.7 million and $2.2 million of interest and investment income and $1.0 million and $1.2 million of sublease income, respectively.</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 Licensing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University of Chicago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2020, the Company entered into a license agreement (the “University License Agreement”), as well as a sponsored research agreement, with the University of Chicago (the “University”). Under the terms of the license, the Company has the global right to develop and commercialize products that are covered by a valid claim of a licensed patent, incorporate or use the licensed know-how and materials or are known to assess, modulate or utilize the activity of certain specified biological targets. In partial consideration for the license from the University, the Company issued to the University 48,919 shares of its common stock in 2020.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University License Agreement, the Company is obligated to pay potential development and commercial milestones as well as running royalties on net sales of licensed products at varying rates. The Company assessed the milestone and royalty events under the University License Agreement during the three and six months ended June 30, 2026 and 2025, and determined that no such milestone or royalty events occurred.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Pfizer Inc.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2020, the Company entered into a license agreement (as amended, the “Pfizer License Agreement”) with Pfizer Inc. (“Pfizer”) for worldwide development and commercialization rights to ADC product candidates directed to certain licensed targets, including micvotabart pelidotin and PYX-203, and products containing the ADC product candidates. The Company’s rights are exclusive with respect to certain patents owned or controlled by Pfizer covering the licensed ADCs. The initial licensed targets include CD123 and Extradomain-B Fibronectin (“EDB+FN”) and the Company has the option to expand the scope of its license to add additional licensed targets that have not been licensed to a third party or are not the subject of a Pfizer ADC development program. The Pfizer License Agreement became effective in March 2021 and the Company paid a combined $25.0 million for the license fee, consisting of an upfront cash payment of $5.0 million and issued 12,152,145 shares of Series B convertible preferred stock, which was converted into 1,911,015 shares of its common stock upon the initial public offering (“IPO”) in October 2021, with a value of $20.0 million to Pfizer.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6, 2022, the Company entered into an amended and restated license agreement (the “A&amp;R License Agreement”) with Pfizer, which amends and restates the Pfizer License Agreement. Pursuant to the A&amp;R License Agreement, Pfizer granted to the Company exclusive worldwide rights under Pfizer’s Flexible Antibody Conjugation Technology (“FACT”) Platform technology to develop and commercialize ADC product candidates directed to certain licensed targets, including micvotabart pelidotin and PYX-203, and products containing the ADC product candidates. Additional ADC targets may be licensed for a nominal upfront payment and milestones. In accordance with the terms of the A&amp;R License Agreement, the Company issued 2,229,654 shares of its common stock to Pfizer in October 2022, paid $8.0 million to Pfizer in January 2023 and issued 1,811,594 shares of its common stock to Pfizer in March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pursuant to the A&amp;R License Agreement, the Company is obligated to pay future contingent payments including development, regulatory and commercial milestones as well as running royalties on net sales of licensed products at varying rates. The Company assessed the milestone and royalty events under the A&amp;R License Agreement during the three and six months ended June 30, 2026 and 2025, and determined that no milestone or royalty events occurred.</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Biosion USA, Inc.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28, 2022, the Company entered into a license agreement (the “Biosion License Agreement”) with Biosion USA, Inc. (“Biosion”), pursuant to which the Company obtained an exclusive, worldwide (other than Greater China (mainland China, Hong Kong, Macau and Taiwan)) license for development, manufacturing and commercialization rights for BSI-060T, a Siglec-15 targeting antibody, an IO product candidate (now referred to as PYX-106), and products containing the licensed compound.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Biosion License Agreement, the Company paid an upfront license fee of $10.0 million in March 2022. Further, the Company is also obligated to pay future contingent payments including development, regulatory and commercial milestones as well as running royalties on net sales of licensed products and sublicensing revenues at varying rates. In December 2024, the Company paused the clinical development of PYX-106. In May 2026, the Company provided Biosion a 90 day notice of termination under the Biosion License Agreement and termination will be effective in August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assessed the milestone and royalty provisions of the Biosion License Agreement during the three and six months ended June 30, 2026 and 2025, and determined that no such milestone or royalty events occurred.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sz w:val="20"/>
        </w:rPr>
      </w:pPr>
      <w:r>
        <w:rPr>
          <w:rFonts w:ascii="Times New Roman" w:hAnsi="Times New Roman"/>
          <w:b/>
          <w:i/>
          <w:color w:val="000000"/>
          <w:sz w:val="20"/>
        </w:rPr>
        <w:t>Acquired Out-Licensing Agreements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 August 2023, the Company completed the acquisition of Apexigen, Inc. ("Apexigen") and assumed all out-licensing agreements of Apexigen upon the Merger.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Simcere License and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2008, Epitomics, Inc. (“Epitomics”) (Apexigen’s predecessor) and Jiangsu Simcere Pharmaceutical R&amp;D Co., Ltd. (“Simcere”) entered into a license and collaboration agreement (the “Simcere Agreement”) for the development and commercialization of suvemcitug (BD0801) for oncology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Simcere paid $3 million of regulatory approval milestone to the Company. Further, in December 2025, the Company sold its rights to royalties from the commercialization of Enzeshu® (suvemcitug for injection) to Simcere for a one-time cash payment of $11 million and four semi-annual installments of $175,000 each. During the three months ended June 30, 2026, the Company received the first $175,000 installment payment. As of June 30, 2026, there are no obligations under the Simcere Agreement.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T-Mab/Mabwell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2008, Epitomics and Jiangsu T-Mab Biotechnology Ltd., Co. (“T-Mab”) entered into a license, co-development and contract manufacture agreement (the “T-Mab Agreement”) for the development and commercialization of therapeutic candidates, each directed to a specified target for specified fields, including VEGF for the treatment of ocular diseases, in China. Mabwell (Shanghai) Bioscience Co., Ltd. (“Mabwell”) acquired T-Mab in 2015.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T-Mab agreement, Mabwell was granted an exclusive, royalty-bearing, perpetual license (without the right to sublicense) to rights in certain intellectual property to develop and commercialize such therapeutic candidates. Mabwell is obligated to pay the Company a mid-single-digit percentage royalty on net sales of such therapeutic candidates in China. During the three and six months ended June 30, 2026 and 2025, the Company assessed the milestone and royalty provisions of the T-Mab Agreement and determined that no milestone or royalty events were triggered.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Toray Sublicense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2012, Epitomics and Toray Industries, Inc. (“Toray”), entered into a non-exclusive sublicense agreement (the “Toray Agreement”) under which Epitomics granted Toray a non-exclusive, worldwide sublicense, with the right to grant further sublicenses, to develop and commercialize drug product candidates that Toray developed using antibodies created using Apexigen’s antibody-discovery platform (the “APXiMAB Platform”) that target certain molecules to use in the development of its drug product candidates. Under the Toray Agreement, Toray paid an upfront fee, and agreed to pay certain development- and regulatory-related milestone payments and a low single-digit percentage royalty on net sales of licensed products by Toray or its affiliates, and a mid-teens percentage of certain payments received by Toray from sublicensees. During the three and six months ended June 30, 2026 and 2025, the Company assessed the milestone and royalty provisions of the Toray Agreement and determined that no milestone or royalty events were triggered.</w:t>
      </w:r>
    </w:p>
    <w:p>
      <w:pPr>
        <w:pStyle w:val="TextBody"/>
        <w:bidi w:val="0"/>
        <w:spacing w:before="120" w:after="283"/>
        <w:jc w:val="left"/>
        <w:rPr>
          <w:rFonts w:ascii="Times New Roman" w:hAnsi="Times New Roman"/>
          <w:sz w:val="20"/>
        </w:rPr>
      </w:pPr>
      <w:r>
        <w:rPr>
          <w:rFonts w:ascii="Times New Roman" w:hAnsi="Times New Roman"/>
          <w:b/>
          <w:color w:val="000000"/>
          <w:sz w:val="20"/>
        </w:rPr>
        <w:t>7.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 and ATM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26, 2025, the Company filed a registration statement on Form S-3 with the Securities and Exchange Commission (the “SEC”) for the issuance of common stock, preferred stock, warrants, debt securities, rights and units with an aggregate offering price of up to $350.0 million. On December 9, 2025, the registration statement was declared effective by the SEC. The registration statement includes an at-the-market offering program (the “ATM”) for the sale of up to $150.0 million of shares of the Company’s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did not sell any shares of common stock under the ATM offering program. As of June 30, 2026, the Company had $150.0 million of remaining capacity available under the ATM facility.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issued and outstanding shares of preferred stock as of June 30, 2026 and December 31, 2025. </w:t>
      </w:r>
    </w:p>
    <w:p>
      <w:pPr>
        <w:pStyle w:val="TextBody"/>
        <w:bidi w:val="0"/>
        <w:spacing w:before="120" w:after="283"/>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was authorized to issue up to 190,000,000 shares of common stock, par value $0.001 per share. As of June 30, 2026 and December 31, 2025 63,434,936 and 62,690,229 shares, respectively, were issued and outstanding.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14, </w:t>
      </w:r>
      <w:r>
        <w:rPr>
          <w:rFonts w:ascii="Times New Roman" w:hAnsi="Times New Roman"/>
          <w:i/>
          <w:color w:val="000000"/>
          <w:sz w:val="20"/>
        </w:rPr>
        <w:t>Subsequent Event</w:t>
      </w:r>
      <w:r>
        <w:rPr>
          <w:rFonts w:ascii="Times New Roman" w:hAnsi="Times New Roman"/>
          <w:color w:val="000000"/>
          <w:sz w:val="20"/>
        </w:rPr>
        <w:t>, for further details regarding the issuance of 19,600,153 shares of common stock in the Private Placement completed subsequent to the balance sheet date.</w:t>
      </w:r>
    </w:p>
    <w:p>
      <w:pPr>
        <w:pStyle w:val="TextBody"/>
        <w:bidi w:val="0"/>
        <w:spacing w:before="120" w:after="283"/>
        <w:jc w:val="both"/>
        <w:rPr>
          <w:rFonts w:ascii="Times New Roman" w:hAnsi="Times New Roman"/>
          <w:sz w:val="20"/>
        </w:rPr>
      </w:pPr>
      <w:r>
        <w:rPr>
          <w:rFonts w:ascii="Times New Roman" w:hAnsi="Times New Roman"/>
          <w:b/>
          <w:i/>
          <w:color w:val="000000"/>
          <w:sz w:val="20"/>
        </w:rPr>
        <w:t>Voting</w:t>
      </w:r>
      <w:r>
        <w:rPr>
          <w:rFonts w:ascii="Times New Roman" w:hAnsi="Times New Roman"/>
          <w:color w:val="000000"/>
          <w:sz w:val="20"/>
        </w:rPr>
        <w:t xml:space="preserve">—Each holder of outstanding shares of common stock shall be entitled to one vote in respect of each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b/>
          <w:i/>
          <w:color w:val="000000"/>
          <w:sz w:val="20"/>
        </w:rPr>
        <w:t>Reserved Shares</w:t>
      </w:r>
      <w:r>
        <w:rPr>
          <w:rFonts w:ascii="Times New Roman" w:hAnsi="Times New Roman"/>
          <w:color w:val="000000"/>
          <w:sz w:val="20"/>
        </w:rPr>
        <w:t>—The Company reserved the following shares of common stock for issuance:</w:t>
      </w:r>
    </w:p>
    <w:tbl>
      <w:tblPr>
        <w:tblW w:w="6479" w:type="dxa"/>
        <w:jc w:val="left"/>
        <w:tblInd w:w="0" w:type="dxa"/>
        <w:tblLayout w:type="fixed"/>
        <w:tblCellMar>
          <w:top w:w="28" w:type="dxa"/>
          <w:left w:w="28" w:type="dxa"/>
          <w:bottom w:w="28" w:type="dxa"/>
          <w:right w:w="28" w:type="dxa"/>
        </w:tblCellMar>
      </w:tblPr>
      <w:tblGrid>
        <w:gridCol w:w="2896"/>
        <w:gridCol w:w="157"/>
        <w:gridCol w:w="1118"/>
        <w:gridCol w:w="146"/>
        <w:gridCol w:w="146"/>
        <w:gridCol w:w="213"/>
        <w:gridCol w:w="1512"/>
        <w:gridCol w:w="291"/>
      </w:tblGrid>
      <w:tr>
        <w:trPr/>
        <w:tc>
          <w:tcPr>
            <w:tcW w:w="28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12,468,296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4,925,963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Apexigen replacement warrants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23,671,653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20,637,459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Common Stock 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Apexigen Replacement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the acquisition of Apexigen, each outstanding warrant issued by Apexigen was assumed and converted into a warrant to acquire the Company’s common stock, on substantially similar terms and conditions as were applicable under the applicable Apexigen warrant agreements. The Company replaced 5,815,613 Apexigen warrants with 1,003,191 Pyxis Oncology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there were 344,259 warrants outstanding with an exercise price of $8.12 per share, 17,212 warrants outstanding with an exercise price of $10.14 per share, and 641,720 warrants outstanding with an exercise price of $66.67 per share. The warrants with an exercise price of $66.67 per share expire on July 29, 2027, or earlier upon redemption or liquidation. The warrants with exercise prices of $8.12 per share and $10.14 per share expire on July 30, 2028, or earlier upon redemption or liquidation.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2025, the holder of the Company’s pre-funded warrants exercised such warrants in full, and the Company issued 1,611,215 shares of common stock upon such exercise. As of June 30, 2026, no pre-funded warrants were outstanding.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14, </w:t>
      </w:r>
      <w:r>
        <w:rPr>
          <w:rFonts w:ascii="Times New Roman" w:hAnsi="Times New Roman"/>
          <w:i/>
          <w:color w:val="000000"/>
          <w:sz w:val="20"/>
        </w:rPr>
        <w:t>Subsequent Event</w:t>
      </w:r>
      <w:r>
        <w:rPr>
          <w:rFonts w:ascii="Times New Roman" w:hAnsi="Times New Roman"/>
          <w:color w:val="000000"/>
          <w:sz w:val="20"/>
        </w:rPr>
        <w:t>, for further details regarding the Common Warrants issued in the Private Placement subsequent to the balance sheet date.</w:t>
      </w:r>
    </w:p>
    <w:p>
      <w:pPr>
        <w:pStyle w:val="TextBody"/>
        <w:bidi w:val="0"/>
        <w:spacing w:before="12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stock-based incentive awards pursuant to the 2021 Equity Incentive Plan (the “2021 Plan”), the 2019 Equity Incentive Plan (the “2019 Plan”), the 2022 Equity Incentive Plan (the “2022 Plan”) and the 2022 Equity Inducement Plan (the “2022 Inducement Plan”). As of June 30, 2026, there were 3,700,580 shares, 264,673 shares, 572,454 shares and 334,056 shares, respectively, available for future issuance under the 2021 Plan, 2019 Plan, 2022 Plan and 2022 Inducement Plan.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activity for the six months ended June 30, 2026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5"/>
        <w:gridCol w:w="197"/>
        <w:gridCol w:w="1402"/>
        <w:gridCol w:w="166"/>
        <w:gridCol w:w="146"/>
        <w:gridCol w:w="473"/>
        <w:gridCol w:w="1046"/>
        <w:gridCol w:w="146"/>
        <w:gridCol w:w="146"/>
        <w:gridCol w:w="545"/>
        <w:gridCol w:w="1350"/>
        <w:gridCol w:w="146"/>
        <w:gridCol w:w="146"/>
        <w:gridCol w:w="304"/>
        <w:gridCol w:w="982"/>
        <w:gridCol w:w="395"/>
      </w:tblGrid>
      <w:tr>
        <w:trPr/>
        <w:tc>
          <w:tcPr>
            <w:tcW w:w="26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Remaining 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2026</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15,801,800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17,918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exercisable June 30, 2026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10,140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250,956 performance stock options granted during the six months ended June 30, 2026, which vest only upon closing of qualified financing. As of June 30, 2026, the performance stock options are not fully vested.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all outstanding and exercisable stock options and the fair value of the Company’s common stock of $3.01 per share as of June 30, 2026. The aggregate intrinsic value of stock options exercised during the three and the six months ended June 30, 2026 was $0.1 million. No stock options were exercised during the three months and the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aggregate $5.8 million of gross unrecognized stock-based compensation expense as of June 30, 2026, remaining to be amortized over a weighted average period of 2.9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weighted-average grant-date fair value of options granted during the three months ended June 30, 2026 and 2025 was $1.82 and $0.78 per share respectively, and the six months ended was $1.06 and $0.78 per share respectively, and was calculated using the following key input assumptions in the Black-Scholes option-pricing model: </w:t>
      </w:r>
    </w:p>
    <w:p>
      <w:pPr>
        <w:pStyle w:val="TextBody"/>
        <w:bidi w:val="0"/>
        <w:jc w:val="left"/>
        <w:rPr/>
      </w:pPr>
      <w:r>
        <w:rPr/>
        <w:t> </w:t>
      </w:r>
    </w:p>
    <w:tbl>
      <w:tblPr>
        <w:tblW w:w="8335" w:type="dxa"/>
        <w:jc w:val="left"/>
        <w:tblInd w:w="0" w:type="dxa"/>
        <w:tblLayout w:type="fixed"/>
        <w:tblCellMar>
          <w:top w:w="28" w:type="dxa"/>
          <w:left w:w="28" w:type="dxa"/>
          <w:bottom w:w="28" w:type="dxa"/>
          <w:right w:w="28" w:type="dxa"/>
        </w:tblCellMar>
      </w:tblPr>
      <w:tblGrid>
        <w:gridCol w:w="2131"/>
        <w:gridCol w:w="772"/>
        <w:gridCol w:w="153"/>
        <w:gridCol w:w="1700"/>
        <w:gridCol w:w="146"/>
        <w:gridCol w:w="1621"/>
        <w:gridCol w:w="146"/>
        <w:gridCol w:w="1666"/>
      </w:tblGrid>
      <w:tr>
        <w:trPr/>
        <w:tc>
          <w:tcPr>
            <w:tcW w:w="213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99.68%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99.43% - 101.51%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98.78% - 103.00%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93.92% - 101.51%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 - 4.11%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 - 4.13%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 - 4.45%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5.00 - 6.08</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 (RSU) and Other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restricted stock units activity for the six months ended June 30, 2026: </w:t>
      </w:r>
    </w:p>
    <w:p>
      <w:pPr>
        <w:pStyle w:val="TextBody"/>
        <w:bidi w:val="0"/>
        <w:jc w:val="left"/>
        <w:rPr/>
      </w:pPr>
      <w:r>
        <w:rPr/>
        <w:t> </w:t>
      </w:r>
    </w:p>
    <w:tbl>
      <w:tblPr>
        <w:tblW w:w="6944" w:type="dxa"/>
        <w:jc w:val="left"/>
        <w:tblInd w:w="0" w:type="dxa"/>
        <w:tblLayout w:type="fixed"/>
        <w:tblCellMar>
          <w:top w:w="28" w:type="dxa"/>
          <w:left w:w="28" w:type="dxa"/>
          <w:bottom w:w="28" w:type="dxa"/>
          <w:right w:w="28" w:type="dxa"/>
        </w:tblCellMar>
      </w:tblPr>
      <w:tblGrid>
        <w:gridCol w:w="2746"/>
        <w:gridCol w:w="201"/>
        <w:gridCol w:w="1284"/>
        <w:gridCol w:w="166"/>
        <w:gridCol w:w="146"/>
        <w:gridCol w:w="625"/>
        <w:gridCol w:w="1385"/>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 and settled</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Outstanding at June 30, 2026</w:t>
            </w:r>
            <w:r>
              <w:rPr>
                <w:rFonts w:ascii="Times New Roman" w:hAnsi="Times New Roman"/>
                <w:b/>
                <w:color w:val="000000"/>
                <w:sz w:val="13"/>
              </w:rPr>
              <w:t>(1)</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1,279,329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886,081 RSUs which are vested but not settled at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 Company issued 334,934 shares of its common stock from the settlement of 381,049 restricted common units, with the remaining shares withheld for taxes. The Company has an aggregate $1.13 million of gross unrecognized restricted stock-based compensation expense as of June 30, 2026, remaining to be amortized over a weighted average period of 1.7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June 30, 2026, the Company issued 381,067 shares of common stock as other awards under the 2021 Plan to the former Chief Executive Officer (CEO), as part of a separation agreement between the company and former CEO, and the compensation cost has been recorded within general and administrative expense.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total stock-based compensation expense for the three and six months ended June 30, 2026 and 2025, respectively (in thousands):</w:t>
      </w:r>
    </w:p>
    <w:tbl>
      <w:tblPr>
        <w:tblW w:w="8000" w:type="dxa"/>
        <w:jc w:val="left"/>
        <w:tblInd w:w="0" w:type="dxa"/>
        <w:tblLayout w:type="fixed"/>
        <w:tblCellMar>
          <w:top w:w="28" w:type="dxa"/>
          <w:left w:w="28" w:type="dxa"/>
          <w:bottom w:w="28" w:type="dxa"/>
          <w:right w:w="28" w:type="dxa"/>
        </w:tblCellMar>
      </w:tblPr>
      <w:tblGrid>
        <w:gridCol w:w="2311"/>
        <w:gridCol w:w="298"/>
        <w:gridCol w:w="807"/>
        <w:gridCol w:w="206"/>
        <w:gridCol w:w="206"/>
        <w:gridCol w:w="298"/>
        <w:gridCol w:w="807"/>
        <w:gridCol w:w="146"/>
        <w:gridCol w:w="146"/>
        <w:gridCol w:w="271"/>
        <w:gridCol w:w="734"/>
        <w:gridCol w:w="187"/>
        <w:gridCol w:w="187"/>
        <w:gridCol w:w="271"/>
        <w:gridCol w:w="734"/>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5,528</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6,738</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Employee Stock Purchase Plan (“2021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the 2021 ESPP in force. The Company did not issue any shares during the three and six months ended June 30, 2026. The Company issued no shares and 29,619 shares under the 2021 ESPP during the three and the six months ended June 30, 2025, respectively. As of June 30, 2026, 715,570 shares are available for issuance under the 2021 ESPP.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leases its office and facilities in Boston, Massachusetts under a non-cancellable operating lease agreement that continues through December 31, 2032. Cash paid for operating lease liabilities were $1.7 million and $1.6 million during the six months ended June 30, 2026 and 2025, respectively and $0.8 million and $0.8 million during the three months ended June 30, 2026 and 2025, respectively, which is included in operating cash flows within the accompanying unaudited condensed consolidated statements of cash flows.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operating lease expense were as follows (in thousands):</w:t>
      </w:r>
    </w:p>
    <w:tbl>
      <w:tblPr>
        <w:tblW w:w="8185" w:type="dxa"/>
        <w:jc w:val="left"/>
        <w:tblInd w:w="0" w:type="dxa"/>
        <w:tblLayout w:type="fixed"/>
        <w:tblCellMar>
          <w:top w:w="28" w:type="dxa"/>
          <w:left w:w="28" w:type="dxa"/>
          <w:bottom w:w="28" w:type="dxa"/>
          <w:right w:w="28" w:type="dxa"/>
        </w:tblCellMar>
      </w:tblPr>
      <w:tblGrid>
        <w:gridCol w:w="2496"/>
        <w:gridCol w:w="324"/>
        <w:gridCol w:w="648"/>
        <w:gridCol w:w="224"/>
        <w:gridCol w:w="224"/>
        <w:gridCol w:w="324"/>
        <w:gridCol w:w="878"/>
        <w:gridCol w:w="146"/>
        <w:gridCol w:w="271"/>
        <w:gridCol w:w="734"/>
        <w:gridCol w:w="187"/>
        <w:gridCol w:w="187"/>
        <w:gridCol w:w="271"/>
        <w:gridCol w:w="734"/>
        <w:gridCol w:w="146"/>
        <w:gridCol w:w="391"/>
      </w:tblGrid>
      <w:tr>
        <w:trPr/>
        <w:tc>
          <w:tcPr>
            <w:tcW w:w="24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lease cost</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988</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1,914</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subleased approximately 17,729 square feet of office and laboratory space in the building located at 321 Harrison Avenue, Boston, Massachusetts. The Company was jointly and severally liable under the head lease and has accounted for the sublease as an operating lease. The lease term commenced on March 24, 2023 and ended May 23, 2026. The Company recognized sublease income of $0.4 million and $0.7 million for the three months ended June 30, 2026 and 2025, respectively and $1.0 million and $1.2 million for the six months ended June 30, 2026 and 2025,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effective tax rate from continuing operations was 0% for the three and six months ended June 30, 2026 and 2025. The Company has not recorded a federal income tax provision for the three and six months ended June 30, 2026 and 2025. The Company recorded a nominal state and local income tax provision for the three and six months ended June 30, 2026. For the three and six months ended June 30, 2025, the Company recorded $0.3 million of foreign tax related to the Simcere milestone revenue in China, as well as a nominal state and local income tax provision.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assesses the realizability of the deferred tax assets at each reporting date. The Company continues to maintain a full valuation allowance for its U.S. federal and state deferred tax assets, which significantly consists of net operating losses and tax credits. If certain substantial changes in the entity’s ownership occur, there may be an annual limitation on the amount of the carryforwards that can be utilized. The Company will continue to assess the need for a valuation allowance on its deferred tax assets.</w:t>
      </w:r>
    </w:p>
    <w:p>
      <w:pPr>
        <w:pStyle w:val="TextBody"/>
        <w:bidi w:val="0"/>
        <w:spacing w:before="120" w:after="283"/>
        <w:jc w:val="left"/>
        <w:rPr>
          <w:rFonts w:ascii="Times New Roman" w:hAnsi="Times New Roman"/>
          <w:sz w:val="20"/>
        </w:rPr>
      </w:pPr>
      <w:r>
        <w:rPr>
          <w:rFonts w:ascii="Times New Roman" w:hAnsi="Times New Roman"/>
          <w:b/>
          <w:color w:val="000000"/>
          <w:sz w:val="20"/>
        </w:rPr>
        <w:t>12. Net Loss per Common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potentially dilutive securities have been excluded from the calculation of diluted net loss per common share due to their anti-dilutive effect: </w:t>
      </w:r>
    </w:p>
    <w:tbl>
      <w:tblPr>
        <w:tblW w:w="6863" w:type="dxa"/>
        <w:jc w:val="left"/>
        <w:tblInd w:w="0" w:type="dxa"/>
        <w:tblLayout w:type="fixed"/>
        <w:tblCellMar>
          <w:top w:w="28" w:type="dxa"/>
          <w:left w:w="28" w:type="dxa"/>
          <w:bottom w:w="28" w:type="dxa"/>
          <w:right w:w="28" w:type="dxa"/>
        </w:tblCellMar>
      </w:tblPr>
      <w:tblGrid>
        <w:gridCol w:w="3916"/>
        <w:gridCol w:w="146"/>
        <w:gridCol w:w="1036"/>
        <w:gridCol w:w="146"/>
        <w:gridCol w:w="146"/>
        <w:gridCol w:w="146"/>
        <w:gridCol w:w="1036"/>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12,717,406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and unsettled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4,987,940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Apexigen replacement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653,777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22,785,572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21,304,792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13.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the Company may become involved in various legal proceedings that arise in the ordinary course of business. The Company is not currently a party to any material legal proceedings and is not aware of any pending or threatened legal proceeding against it that the Company believes could have an adverse effect on its business, operating results or financial condition. </w:t>
      </w:r>
    </w:p>
    <w:p>
      <w:pPr>
        <w:pStyle w:val="TextBody"/>
        <w:bidi w:val="0"/>
        <w:spacing w:before="120" w:after="283"/>
        <w:jc w:val="both"/>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various third parties for clinical trials, preclinical research studies and testing, manufacturing and other services and products for operating purposes, which are generally cancellable by the Company at any time, subject to payment of remaining obligations under binding purchase orders and, in certain cases, nominal early-termination fees. These commitments are not deemed significant. </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 Subsequent Event</w:t>
      </w:r>
    </w:p>
    <w:p>
      <w:pPr>
        <w:pStyle w:val="TextBody"/>
        <w:bidi w:val="0"/>
        <w:spacing w:before="120" w:after="283"/>
        <w:jc w:val="both"/>
        <w:rPr>
          <w:rFonts w:ascii="Times New Roman" w:hAnsi="Times New Roman"/>
          <w:sz w:val="20"/>
        </w:rPr>
      </w:pPr>
      <w:r>
        <w:rPr>
          <w:rFonts w:ascii="Times New Roman" w:hAnsi="Times New Roman"/>
          <w:b/>
          <w:i/>
          <w:color w:val="000000"/>
          <w:sz w:val="20"/>
        </w:rPr>
        <w:t>Private Placement Fundin</w:t>
      </w:r>
      <w:r>
        <w:rPr>
          <w:rFonts w:ascii="Times New Roman" w:hAnsi="Times New Roman"/>
          <w:b/>
          <w:i/>
          <w:color w:val="000000"/>
          <w:sz w:val="24"/>
        </w:rPr>
        <w:t>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30, 2026, the Company entered into a securities purchase agreement (the “Securities Purchase Agreement”) for a private placement (the “Private Placement”) with certain institutional accredited investors (each, a “Purchaser” and collectively, the “Purchasers”). Pursuant to the Securities Purchase Agreement, the Company agreed to issue and sell to the Purchasers an aggregate of (i) 19,600,153 shares (the “Shares”) of the Company’s common stock, par value $0.001 per share (the “Common Stock”), at a purchase price of $2.551 per share, and (ii) common warrants (the “Common Warrants”) to purchase up to an equal amount of shares of Common Stock (the “Common Warrant Shares”) at an exercise price of $3.289 per Common Warrant. The Common Warrants will be exercisable on or after the earlier of (i) the date on which the Company first publicly discloses clinical data from its MICVO Phase 1 monotherapy study in second line and beyond Recurrent / Metastatic Head and Neck Squamous Cell Carcinoma, or (ii) October 1, 2026, and the Common Warrants will expire on July 2, 2029. On June 30, 2026, the Company received approximately $10.0 million of proceeds from certain investors participating in the Private Placement, which was recorded as "Private placement advance liability" on the accompanying condensed consolidated balance sheet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Private Placement closed on July 2, 2026. The Company received gross proceeds from the Private Placement of approximately $50 million, before deducting placement agent fees and offering expenses directly related to the Private Placement and anticipates up to an additional approximately $64.0 million of gross proceeds, before deducting placement agent fees, if the accompanying Common Warrants are exercised in full for cash. As of the date of filing of this Quarterly Report on Form 10-Q, the Common Warrants are not exercisable.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bookmarkStart w:id="10" w:name="item_7_managements_discussion"/>
      <w:bookmarkEnd w:id="10"/>
      <w:r>
        <w:rPr>
          <w:rFonts w:ascii="Times New Roman" w:hAnsi="Times New Roman"/>
          <w:b/>
          <w:color w:val="000000"/>
          <w:sz w:val="20"/>
        </w:rPr>
        <w:t>Item 2. Management’s Discussion and</w:t>
      </w:r>
      <w:r>
        <w:rPr>
          <w:rFonts w:ascii="Times New Roman" w:hAnsi="Times New Roman"/>
          <w:color w:val="000000"/>
          <w:sz w:val="20"/>
        </w:rPr>
        <w:t xml:space="preserve"> </w:t>
      </w:r>
      <w:r>
        <w:rPr>
          <w:rFonts w:ascii="Times New Roman" w:hAnsi="Times New Roman"/>
          <w:b/>
          <w:color w:val="000000"/>
          <w:sz w:val="20"/>
        </w:rPr>
        <w:t>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(1) unaudited condensed consolidated financial statements and related notes thereto included elsewhere in this Quarterly Report on Form 10-Q, and (2) consolidated financial statements and related notes and management’s discussion and analysis of financial condition and results of operations for the fiscal year ended December 31, 2025, included in our Fiscal 2025 10-K. Unless the context requires otherwise, references in this Quarterly Report on Form 10-Q to “Pyxis Oncology,” the “Company,” “we,” “us,” and “our” refer to Pyxis Oncology, Inc. and its subsidiaries.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of 1933, as amended, or the Securities Act, and Section 21E of the Securities Exchange Act of 1934, as amended.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Factors that could cause or contribute to such differences include, but are not limited to, those identified herein, and those discussed in the section titled “Risk Factors” set forth in Part II, Item 1A. of this Quarterly Report on Form 10-Q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Pyxis Oncology is a clinical-stage oncology company advancing a development strategy focused on addressing unmet medical needs in patients with solid tumors with an immediate focus on head and neck squamous cell carcinoma (HNSCC).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lead product candidate, micvotabart pelidotin (MICVO, formerly PYX-201), is an investigational novel antibody-drug conjugate (ADC) that uniquely targets the splice variant of fibronectin, extradomain-B of fibronectin (EDB+FN), a non-cellular structural component of the extracellular matrix (ECM) in the tumor microenvironment (TME). EDB+FN is an isoform of fibronectin present in tumors that is negligibly expressed in normal adult tissues and facilitates cancer progression by playing multiple roles including promoting cell proliferation, adhesion, and migration, activating the integrin signaling pathway, stimulating angiogenesis and vascular remodeling, driving epithelial-mesenchymal transition (EMT), and establishing the pre-metastatic niche. We believe EDB+FN is a compelling target for cancer therapeutics as the physiological expression of EDB+FN is very low in healthy adult tissues, yet it is found to be highly expressed in a variety of solid tumors.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ADC, MICVO, consists of a fully human IgG1 monoclonal antibody that is site-specifically conjugated to a cleavable linker with an optimized auristatin (Aur0101) microtubule inhibitor payload. Unlike conventional ADCs which bind to an antigen on the surface of a cancer cell, MICVO is designed to bind to EDB+FN in the tumor ECM, where extracellular proteases under acidic conditions cleave the linker to release the Aur0101 payload. The payload diffuses through the membrane of cancer cells to kill them directly, which is the first component of MICVO’s three-pronged mechanism of action (MOA). The dying cancer cells release the payload which diffuses into nearby cancer cells and kills them via the bystander effect, representing the second component of MICVO’s MOA. The dying cancer cells also release neoantigens which trigger immunogenic cell death (ICD), the final component of its MOA. Together with its purpose-built design and postulated three-pronged MOA, MICVO has the potential for improved stability and anti-tumor activity compared to conventional ADCs.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MICVO is currently being studied as monotherapy in recurrent and metastatic head and neck squamous cell carcinoma (R/M HNSCC) and in combination with KEYTRUDA® (pembrolizumab) in 1L/2L+ R/M HNSCC and other solid tumors.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MICVO Monotherapy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PYX-201-101 Phase 1 (Part 1) Monotherapy Dose Escalation Study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Phase 1 monotherapy study, referred to as PYX-201-101, we conducted a dose escalation study to evaluate MICVO monotherapy in patients with advanced solid tumors known to express EDB+FN. In November 2024, we reported positive preliminary results from the dose escalation study, which included a total of 80 patients dosed across nine solid tumor types at doses ranging from 0.3 mg/kg to 8 mg/kg, with a data cut-off of October 4, 2024. Of the nine solid tumor types included in the study, the strongest tumor regression response was observed in R/M HNSCC. Among the six efficacy evaluable heavily pre-treated patients with R/M HNSCC, the confirmed objective response rate (ORR) was 50% per RECIST v1.1 at the therapeutically active dose response range of 3.6 mg/kg – 5.4 mg/kg administered intravenously every three weeks (IV Q3W), including one confirmed complete response (CR) and two confirmed partial responses (PRs), with a disease control rate (DCR) of 100%. Based on observations from the dose-escalation study, 5.4 mg/kg IV Q3W presented an optimal benefit-risk profile within the efficacious dose range and was selected for dose expansion. Subsequent translational data indicated reduction in ctDNA TF after treatment with MICVO, particularly at the 5.4 mg/kg dose, supported a positive molecular response to MICVO, providing further validation of the dose selection strategy for dose expansion.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PYX-201-101 Phase 1 (Part 2) Monotherapy Dose Expansion in R/M HNSCC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2025, we initiated the dose expansion portion (Part 2) of the Phase 1 PYX-201-101 monotherapy study to further evaluate MICVO as a monotherapy at a dose of 5.4 mg/kg IV Q3W and to assess preliminary efficacy in R/M HNSCC. The Part 2 dose-expansion phase includes the following two cohorts: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Arm 1: MICVO monotherapy for second line (2L) and third line (3L) R/M HNSCC patients who have received prior platinum-based chemotherapy and prior PD-(L)1 inhibitor 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Arm 2: MICVO monotherapy for 2L and 3L R/M HNSCC patients who have received prior epidermal growth factor receptor (EGFR) directed therapy and prior PD-(L)1 inhibitor 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2025, we reported positive preliminary data from our ongoing Phase 1 monotherapy study evaluating MICVO in patients with 2L+ R/M HNSCC, based on a data cut-off date of November 3, 2025, which included all R/M HNSCC patients dosed at 5.4 mg/kg total body weight (TBW) in Part 1 and in Part 2. As of the data cut-off, 18 R/M HNSCC patients had been treated and 13 patients were efficacy evaluable. All treated patients had received prior systemic therapy, with a median of three prior lines of therapy. All treated patients had received prior platinum-based and checkpoint inhibitor therapies while 67% of treated patients had received prior taxanes and 50% of treated patients had received prior EGFR-targeted therapies, specifically cetuximab. Among the 13 efficacy evaluable patients, the confirmed ORR was 46% (6/13, one patient confirmed response after November 3, 2025 data cut-off) per RECIST v1.1, including one confirmed complete response. Confirmed responses were observed in both dose-expansion cohorts, including patients previously treated with platinum-based therapy and anti-PD(L)1 therapy (Arm 1) and patients previously treated with an EGFR inhibitor and/or anti-PD(L)1 therapy (Arm 2), and were observed in patients regardless of HPV status. The preliminary data also showed a DCR of 92%, with 12 of 13 efficacy evaluable patients demonstrating significant tumor regression or tumor control.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data reported in December 2025 indicated that MICVO was generally well tolerated. No Grade 4 ADC payload treatment-related adverse events (TRAEs) of interest were observed, and no Grade 5 events occurred. TRAEs were reported in 89% (16/18) of patients, with Grade ≥3 TRAEs reported in 56% (10/18) of patients. TRAEs leading to treatment discontinuation occurred in 28% (5/18) of patients. We observed a higher discontinuation rate and incidence of Grade ≥3 TRAEs in high body weight patients (defined as at least 10% above adjusted ideal body weight, or AIBW). In the preliminary dataset, all patients (5/5) who experienced TRAEs leading to treatment discontinuation had high body weight. Several approved ADCs have demonstrated comparable associations among patient body weight, systematic drug exposure, and tolerability profiles. Many of these ADCs, such as Padcev, Adcetris, and Elahere, have addressed such observations through dosing modifications that resulted in an improved tolerability profile while sustaining efficacy, including through capping the maximum allowable dose or employing AIBW dosing. We implemented a dose cap for higher body weight patients in December 2025 and continue to evaluate dosing strategies to optimize MICVO’s benefit-risk profile. The Fall 2026 clinical update is expected to include analyses of the impact of dose capping on safety, tolerability, efficacy and initial durability.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MICVO Combination 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announced a Clinical Trial Collaboration and Supply Agreement with Merck &amp; Co, Inc. or Merck (known as MSD outside of the United States and Canada), for a Pyxis Oncology-sponsored study of MICVO in combination with Merck’s anti-PD-1 therapy, KEYTRUDA® (pembrolizumab). In January 2025, we initiated the Phase 1/2 combination study with KEYTRUDA®, PYX-201-102, and are actively enrolling and dosing patients in this study. PYX-201-102 is a Phase 1/2 open label, global, multicenter dose escalation and dose expansion study designed to evaluate the safety, tolerability, pharmacokinetics (PK), pharmacodynamics (PD) and preliminary efficacy of MICVO in combination with pembrolizumab in patients with advanced solid tumors. Patients with histologically or cytologically confirmed advanced solid tumors, including 1L R/M HNSCC, 2L+ R/M HNSCC, cervical cancer, gastric cancer, HR+/HER2- breast cancer, and locally advanced or metastatic triple-negative breast cancer (TNBC), are eligible to enroll.</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PYX-201-102 Phase 1/2 Preliminary Combination Data in R/M HNSCC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2025, we reported positive preliminary data from this study, evaluating MICVO at 3.6 mg/kg and 4.4 mg/kg IV Q3W, each administered in combination with a fixed 200 mg dose of pembrolizumab Q3W, in patients with 1L/2L+ R/M HNSCC. As of the data cut-off date of November 3, 2025, seven patients had been treated, including four patients at 3.6 mg/kg and three patients at 4.4 mg/kg of MICVO, each in combination with pembrolizumab. All treated patients had received prior systemic therapy, including four patients with 1L R/M HNSCC (median of one prior systemic therapy administered in the neoadjuvant or adjuvant setting) and three patients with 2L+ R/M HNSCC (median of three prior lines of therapy, some of which were administered prior to the R/M setting). Among the seven efficacy-evaluable patients, the confirmed ORR was 71% (5/7, one patient confirmed response after November 3, 2025 data cut-off) and the DCR was 100% (7/7), with all seven patients demonstrating meaningful tumor regression. Responses were observed across a range of PD-L1 combined positive scores (CPS), from CPS≥1 to CPS&gt;20, and included responses in patients who had previously received checkpoint inhibitor treatment and had experienced disease progression while receiving checkpoint inhibitor treatment. Preliminary safety data indicated that MICVO in combination with pembrolizumab was generally well tolerated, with no Grade 3 or Grade 4 ADC payload TRAEs of interest and no Grade 5 events reported. TRAEs were reported in 86% (6/7) of patients. No TRAEs led to treatment discontinuation, and, as of the data cut-off date, no overlapping toxicities between MICVO and pembrolizumab (KEYTRUDA®) had been observed.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Preclinical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we presented new preclinical data in a poster session at the American Association for Cancer Research (AACR) 2026 Annual Meeting in San Diego, California. The new preclinical data indicated that a mouse analogue of MICVO (maMICVO) demonstrates anti-tumor activity in a preclinical HNSCC model as monotherapy, and synergistic anti-tumor activity in combination with anti-mouse PD-1. The preclinical data are summarized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maMICVO produced dose-dependent inhibition of EDB+FN-expressing MOC2 tumor outgrowth, with 6 mg/kg showing the strongest tumor growth inhibition.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maMICVO monotherapy modulated the tumor-immune environment in a syngeneic preclinical model of HNSCC toward a more favorable immune-permissive environment. Treatment with maMICVO reduced the overall abundance of immune-suppressive regulatory T cells (Tregs) in MOC2 tumors. maMICVO also increased the CD8 T cell-to-Treg ratio and enhanced the abundance of a progenitor exhausted T cell subset that is highly responsive to anti-PD-1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maMICVO in combination with anti-mouse PD-1 worked synergistically to produce greater anti-tumor activity compared with either treatment alone in an immune-refractory syngeneic preclinical model of HNSCC. The combination of maMICVO and anti-mouse PD-1 resulted in greater tumor control and tumor growth inhibition than monotherapy with either maMICVO or anti-mouse PD-1. Bliss independence analysis confirmed that maMICVO acted synergistically with anti-mouse PD-1 in a preclinical model unresponsive to anti-mouse PD-1 monotherapy.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totality of our preliminary clinical and preclinical data supports MICVO’s broad potential to address a significant unmet need for patients with R/M HNSCC regardless of HPV status or prior therapy and continued clinical development of both MICVO monotherapy expansion and combination therapy trials.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Our Clinical Pipeline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clinical pipeline</w:t>
      </w:r>
    </w:p>
    <w:p>
      <w:pPr>
        <w:pStyle w:val="TextBody"/>
        <w:bidi w:val="0"/>
        <w:spacing w:before="120" w:after="120"/>
        <w:jc w:val="center"/>
        <w:rPr/>
      </w:pPr>
      <w:r>
        <w:rPr/>
        <w:drawing>
          <wp:inline distT="0" distB="0" distL="0" distR="0">
            <wp:extent cx="4610100" cy="2371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10100" cy="23717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0"/>
        </w:rPr>
      </w:pPr>
      <w:r>
        <w:rPr>
          <w:rFonts w:ascii="Times New Roman" w:hAnsi="Times New Roman"/>
          <w:i/>
          <w:color w:val="000000"/>
          <w:sz w:val="20"/>
        </w:rPr>
        <w:t>MICVO Monotherapy 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dose expansion phase of our Phase 1, PYX-201-101 monotherapy study, is ongoing with the objective of further evaluating the preliminary safety, efficacy and durability signals observed with MICVO in R/M HNSCC at the 5.4mg/kg IV Q3W dose. In the first quarter of 2026, we completed target enrollment of approximately 40 patients, approximately 20 in each of two 2L+ R/M HNSCC cohorts, and we are actively treating patients in both cohorts. The dose expansion phase includes the following R/M HNSCC cohorts across sites in the United States (US), European Union (EU)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MICVO monotherapy for 2L and 3L R/M HNSCC patients who have received prior platinum-based chemotherapy and prior PD-(L)1 inhibitor 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MICVO monotherapy for 2L and 3L R/M HNSCC patients who have received prior EGFR directed therapy and prior PD-(L)1 inhibitor therapy.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report updated clinical data from both cohorts in Fall 2026. We believe this timeline allows for additional follow-up of 2L+ R/M HNSCC patients treated with MICVO at 5.4 mg/kg IV Q3W with a dose equivalent to or below a dose cap and will support detailed analyses of the impact of dose capping on safety, tolerability, efficacy and initial durability.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Dose capping and AIBW are both well-established approaches to modified weight-based dosing and have demonstrated improved tolerability without sacrificing clinical activity in studies of other ADCs. In December 2025, we implemented a dose cap for higher body weight patients. Based on internal PK simulation modeling indicating that MICVO exposure with dose capping and AIBW dosing are comparable, dose capping was prioritized for its operational simplicity and ease of implementation. A protocol amendment permitting AIBW dosing has since been approved, and AIBW dosing has begun in ongoing clinical studies. AIBW will be selected as a go-forward dose strategy only if it offers a superior profile to dose capping.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fourth quarter of 2025, we obtained feedback and alignment from the U.S. Food and Drug Administration (FDA) regarding the clinical trial design for a planned pivotal monotherapy study in 2L+ R/M HNSCC, which continues to inform our development strategy for MICVO in this setting. </w:t>
      </w:r>
    </w:p>
    <w:p>
      <w:pPr>
        <w:pStyle w:val="TextBody"/>
        <w:bidi w:val="0"/>
        <w:spacing w:before="120" w:after="283"/>
        <w:jc w:val="both"/>
        <w:rPr>
          <w:rFonts w:ascii="Times New Roman" w:hAnsi="Times New Roman"/>
          <w:sz w:val="20"/>
        </w:rPr>
      </w:pPr>
      <w:r>
        <w:rPr>
          <w:rFonts w:ascii="Times New Roman" w:hAnsi="Times New Roman"/>
          <w:i/>
          <w:color w:val="000000"/>
          <w:sz w:val="20"/>
        </w:rPr>
        <w:t>MICVO Combination Therapy Pipeline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Phase 1/2 combination study with KEYTRUDA® (PYX-201-102) is ongoing and we are conducting the dose escalation phase of PYX-201-102 across multiple tumor types with the objective of identifying the Recommended Phase 2 Dose (RP2D) of MICVO in combination with pembrolizumab. We are currently enrolling and dosing patients across several dose levels between 3.6 mg/kg and 5.4 mg/kg of MICVO, in combination with pembrolizumab at the fixed dose of 200 mg IV Q3W, in order to accurately characterize the RP2D for MICVO in combination with pembrolizumab, subject to ongoing safety review, enrollment progress, and clinical data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anticipate reporting updated clinical data in the fourth quarter of 2026 from the ongoing PYX-201-102 Phase 1/2 dose escalation study evaluating MICVO in combination with KEYTRUDA®, with the update focused on patients with 1L R/M HNSCC.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focused substantially all of our resources on conducting research and development activities, undertaking preclinical studies and clinical trials, organizing and staffing our company, business planning, raising capital, establishing and maintaining our intellectual property portfolio and identifying potential product candidates. We do not have any products approved for sale and have not generated any revenue from product sales. We have incurred significant operating losses since our inception. We reported net losses of $48.6 million and $39.5 million for the six months ended June 30, 2026 and 2025, respectively. As of June 30, 2026, we had an accumulated deficit of $491.8 million, net equity of $11.4 million, and cash, cash equivalents and marketable debt securities of $33.0 million. Subsequent to June 30, 2026, we completed a private placement financing that generated gross proceeds of approximately $50.0 million (of which $10.0 million was received on June 30, 2026), before deducting placement agent fees and offering expenses, and expect the upfront proceeds from the financing to fund our operating expenses and capital expenditure requirements into the second quarter of 2027. We expect to continue to incur significant expenses and operating losses for the foreseeable future. We expect that our expenses and capital expenditures will increase substantially in connection with our ongoing activities. Our operations to date have been financed primarily through sale of equity securities and additional funding will be necessary to fund future clinical and preclinical activities.</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generated any revenues from product sales and do not expect to generate any revenues from product sales in the foreseeable future. We record revenues from research and development agreements, including amounts related to upfront receipt for license fees, royalties, milestones and other contingent receipts and fees for research and development services.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product revenues will depend upon our ability to successfully develop, obtain regulatory approval and commercialize our product candidate. Due to the numerous risks and uncertainties associated with product development and regulatory approval, we are unable to predict the amount, timing or whether we will be able to obtain product revenues.</w:t>
      </w:r>
    </w:p>
    <w:p>
      <w:pPr>
        <w:pStyle w:val="TextBody"/>
        <w:bidi w:val="0"/>
        <w:spacing w:before="120" w:after="283"/>
        <w:jc w:val="left"/>
        <w:rPr>
          <w:rFonts w:ascii="Times New Roman" w:hAnsi="Times New Roman"/>
          <w:sz w:val="20"/>
        </w:rPr>
      </w:pPr>
      <w:r>
        <w:rPr>
          <w:rFonts w:ascii="Times New Roman" w:hAnsi="Times New Roman"/>
          <w:b/>
          <w:i/>
          <w:color w:val="000000"/>
          <w:sz w:val="20"/>
        </w:rPr>
        <w:t>Costs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our cost of revenues are expenses directly attributable to revenues. During the three and six months ended June 30, 2026 and 2025, the Company has not incurred any costs with respect to revenue.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costs incurred for our research activities, including our discovery efforts and research work to support clinical development, and the development of our programs. Research and development expenses are separated into program-specific costs and unallocated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Program-specific costs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third party costs, which include expenses incurred under agreements with contract research organizations (CROs), and the cost of consultants who assist with the development of our product candidate on a program-specific basis, investigator grants, sponsored research, and any other third party expenses directly attributable to the development of the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acquiring, developing, manufacturing and testing clinical and preclinical materials, including costs incurred under agreements with contract development and manufacturing organizations (CDMOs) to the extent they can be allocated to a specific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fees and milestone payments related to the acquisition and retention of certain licensed technology and intellectual property rights for a specific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and clinical activities that are directly attributable to the development of the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Unallocated costs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for research and development personnel, including salaries, bonus, payroll taxes, related benefits, severance and other staff-related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expenses for employees engaged in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facilities and other costs, which include allocated expenses for rent and maintenance of facilities, depreciation of leasehold improvements and equipment, laboratory supplies, third party cost for discovery research and the cost of consultants who assist with our research and development and costs related to contract manufacturing, but are not allocated to a specific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our research and development expenses will increase substantially in connection with our ongoing and planned preclinical and clinical development activities related to our product candidate in the near term and in the future. The successful development of our product candidate is highly uncertain. At this time, we cannot accurately estimate or know the nature, timing and costs of the efforts that will be necessary to complete the preclinical and clinical development of our product candidate and we may never succeed in obtaining regulatory approval for our product candidate. </w:t>
      </w:r>
    </w:p>
    <w:p>
      <w:pPr>
        <w:pStyle w:val="TextBody"/>
        <w:bidi w:val="0"/>
        <w:spacing w:before="12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personnel-related costs, including stock-based compensation, and severance for our personnel in executive, legal, finance and accounting, human resources and other administrative functions. General and administrative expenses also include professional fees for auditing, tax, and legal services, as well as insurance, board of director compensation, consulting, other administrative expenses and facility costs not otherwise included in research and development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primarily consists of interest earned on our invested cash and cash equivalent balances, accretion of discounts associated with our marketable debt securities and sublease income under our sublease.</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90" w:after="12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tbl>
      <w:tblPr>
        <w:tblW w:w="7245" w:type="dxa"/>
        <w:jc w:val="left"/>
        <w:tblInd w:w="0" w:type="dxa"/>
        <w:tblLayout w:type="fixed"/>
        <w:tblCellMar>
          <w:top w:w="28" w:type="dxa"/>
          <w:left w:w="28" w:type="dxa"/>
          <w:bottom w:w="28" w:type="dxa"/>
          <w:right w:w="28" w:type="dxa"/>
        </w:tblCellMar>
      </w:tblPr>
      <w:tblGrid>
        <w:gridCol w:w="2856"/>
        <w:gridCol w:w="251"/>
        <w:gridCol w:w="876"/>
        <w:gridCol w:w="197"/>
        <w:gridCol w:w="173"/>
        <w:gridCol w:w="251"/>
        <w:gridCol w:w="876"/>
        <w:gridCol w:w="166"/>
        <w:gridCol w:w="146"/>
        <w:gridCol w:w="211"/>
        <w:gridCol w:w="631"/>
        <w:gridCol w:w="611"/>
      </w:tblGrid>
      <w:tr>
        <w:trPr/>
        <w:tc>
          <w:tcPr>
            <w:tcW w:w="28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Milestone Revenue</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Milestone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no revenue for the three months ended June 30, 2026, compared to $2.8 million for the three months ended June 30, 2025. The prior-year revenue related to a regulatory milestone achieved under the Simcere out-licensing and collaboration agreement.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2026 and 2025 (in thousands): </w:t>
      </w:r>
    </w:p>
    <w:tbl>
      <w:tblPr>
        <w:tblW w:w="9510" w:type="dxa"/>
        <w:jc w:val="left"/>
        <w:tblInd w:w="0" w:type="dxa"/>
        <w:tblLayout w:type="fixed"/>
        <w:tblCellMar>
          <w:top w:w="28" w:type="dxa"/>
          <w:left w:w="28" w:type="dxa"/>
          <w:bottom w:w="28" w:type="dxa"/>
          <w:right w:w="28" w:type="dxa"/>
        </w:tblCellMar>
      </w:tblPr>
      <w:tblGrid>
        <w:gridCol w:w="5441"/>
        <w:gridCol w:w="268"/>
        <w:gridCol w:w="859"/>
        <w:gridCol w:w="185"/>
        <w:gridCol w:w="185"/>
        <w:gridCol w:w="268"/>
        <w:gridCol w:w="859"/>
        <w:gridCol w:w="146"/>
        <w:gridCol w:w="146"/>
        <w:gridCol w:w="211"/>
        <w:gridCol w:w="631"/>
        <w:gridCol w:w="311"/>
      </w:tblGrid>
      <w:tr>
        <w:trPr/>
        <w:tc>
          <w:tcPr>
            <w:tcW w:w="54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Program-specific costs:</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MICVO</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PYX-106</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 costs</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program costs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Unallocated costs:</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costs</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16,057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$1.1 million, from $17.1 million for the three months ended June 30, 2025 to $16.1 million for the three months ended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MICVO program-specific research and development costs decreased by $0.1 million, primarily due to $3.5 million increase in clinical trial-related expenses due to an increased number of patients dosed in the MICVO monotherapy and combination therapy trials, as well as an $1.1 million increase in preclinical studies, offset by a reduction of $4.7 million in manufacturing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PYX-106 program-specific research and development costs decreased by $0.2 million, reflecting lower program-related expenses following the pause in clinical development of PYX-106-101 in December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research and development costs decreased by $0.7 million, primarily due to lower research and development support costs of $0.4 million, decreased facilities and depreciation costs of $0.3 million, and decreased recruitment costs of $0.2 million, offset by an increase of $0.4 million in compensation costs.</w:t>
      </w:r>
    </w:p>
    <w:p>
      <w:pPr>
        <w:pStyle w:val="TextBody"/>
        <w:bidi w:val="0"/>
        <w:spacing w:before="12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months ended June 30, 2026 and 2025 (in thousands): </w:t>
      </w:r>
    </w:p>
    <w:tbl>
      <w:tblPr>
        <w:tblW w:w="9228" w:type="dxa"/>
        <w:jc w:val="left"/>
        <w:tblInd w:w="0" w:type="dxa"/>
        <w:tblLayout w:type="fixed"/>
        <w:tblCellMar>
          <w:top w:w="28" w:type="dxa"/>
          <w:left w:w="28" w:type="dxa"/>
          <w:bottom w:w="28" w:type="dxa"/>
          <w:right w:w="28" w:type="dxa"/>
        </w:tblCellMar>
      </w:tblPr>
      <w:tblGrid>
        <w:gridCol w:w="5341"/>
        <w:gridCol w:w="298"/>
        <w:gridCol w:w="807"/>
        <w:gridCol w:w="206"/>
        <w:gridCol w:w="206"/>
        <w:gridCol w:w="298"/>
        <w:gridCol w:w="807"/>
        <w:gridCol w:w="146"/>
        <w:gridCol w:w="146"/>
        <w:gridCol w:w="211"/>
        <w:gridCol w:w="571"/>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insurance and other costs</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general and administrative expenses</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9,933</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by $4.5 million, from $5.4 million for the three months ended June 30, 2025 to $9.9 million for the three months ended June 30, 2026. This increase was primarily attributable to a $4.4 million increase in personnel-related expenses, due to an increase in severance costs of $1.2 million and higher stock-based compensation expense of $2.6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for the three months ended June 30, 2026 and 2025 was $0.6 million and $1.7 million, respectively. The decrease of $1.1 million was due to lower interest and investment income and lower sublease income.</w:t>
      </w:r>
    </w:p>
    <w:p>
      <w:pPr>
        <w:pStyle w:val="TextBody"/>
        <w:bidi w:val="0"/>
        <w:spacing w:before="12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9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90" w:after="12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tbl>
      <w:tblPr>
        <w:tblW w:w="7005" w:type="dxa"/>
        <w:jc w:val="left"/>
        <w:tblInd w:w="0" w:type="dxa"/>
        <w:tblLayout w:type="fixed"/>
        <w:tblCellMar>
          <w:top w:w="28" w:type="dxa"/>
          <w:left w:w="28" w:type="dxa"/>
          <w:bottom w:w="28" w:type="dxa"/>
          <w:right w:w="28" w:type="dxa"/>
        </w:tblCellMar>
      </w:tblPr>
      <w:tblGrid>
        <w:gridCol w:w="2856"/>
        <w:gridCol w:w="228"/>
        <w:gridCol w:w="796"/>
        <w:gridCol w:w="179"/>
        <w:gridCol w:w="157"/>
        <w:gridCol w:w="228"/>
        <w:gridCol w:w="796"/>
        <w:gridCol w:w="166"/>
        <w:gridCol w:w="146"/>
        <w:gridCol w:w="211"/>
        <w:gridCol w:w="631"/>
        <w:gridCol w:w="611"/>
      </w:tblGrid>
      <w:tr>
        <w:trPr/>
        <w:tc>
          <w:tcPr>
            <w:tcW w:w="28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Milestone Revenue</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Milestone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no revenue for the six months ended June 30, 2026, compared to $2.8 million for the six months ended June 30, 2025. The prior-year revenue related to a regulatory milestone achieved under the Simcere out-licensing and collaboration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six months ended June 30, 2026 and 2025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9268" w:type="dxa"/>
        <w:jc w:val="left"/>
        <w:tblInd w:w="0" w:type="dxa"/>
        <w:tblLayout w:type="fixed"/>
        <w:tblCellMar>
          <w:top w:w="28" w:type="dxa"/>
          <w:left w:w="28" w:type="dxa"/>
          <w:bottom w:w="28" w:type="dxa"/>
          <w:right w:w="28" w:type="dxa"/>
        </w:tblCellMar>
      </w:tblPr>
      <w:tblGrid>
        <w:gridCol w:w="5441"/>
        <w:gridCol w:w="243"/>
        <w:gridCol w:w="780"/>
        <w:gridCol w:w="168"/>
        <w:gridCol w:w="168"/>
        <w:gridCol w:w="243"/>
        <w:gridCol w:w="780"/>
        <w:gridCol w:w="146"/>
        <w:gridCol w:w="146"/>
        <w:gridCol w:w="211"/>
        <w:gridCol w:w="631"/>
        <w:gridCol w:w="311"/>
      </w:tblGrid>
      <w:tr>
        <w:trPr/>
        <w:tc>
          <w:tcPr>
            <w:tcW w:w="54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Program-specific costs:</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MICVO</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PYX-106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 costs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program costs</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23,439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4,327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Unallocated costs:</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costs</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36,040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by $1.9 million, from $34.2 million for the six months ended June 30, 2025 to $36.0 million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MICVO program-specific research and development costs increased by $5.4 million, primarily due to $7.9 million increase in clinical trial-related expenses due to an increased number of patients dosed in the MICVO monotherapy and combination therapy trials, as well as an $1.9 million increase in preclinical studies, offset primarily by a reduction in manufacturing expense of $4.3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PYX-106 program-specific research and development costs decreased by $0.7 million, reflecting lower program-related expenses following the pause in clinical development of PYX-106-101 in December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Unallocated research and development costs decreased by $2.5 million primarily due to decreased severance expense of $0.9 million, a reduction in other research and development support costs of $0.7 million and decreased employee recruitment costs of $0.6 million.</w:t>
      </w:r>
    </w:p>
    <w:p>
      <w:pPr>
        <w:pStyle w:val="TextBody"/>
        <w:bidi w:val="0"/>
        <w:spacing w:before="12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six months ended June 30, 2026 and 2025 (in thousands): </w:t>
      </w:r>
    </w:p>
    <w:tbl>
      <w:tblPr>
        <w:tblW w:w="8988" w:type="dxa"/>
        <w:jc w:val="left"/>
        <w:tblInd w:w="0" w:type="dxa"/>
        <w:tblLayout w:type="fixed"/>
        <w:tblCellMar>
          <w:top w:w="28" w:type="dxa"/>
          <w:left w:w="28" w:type="dxa"/>
          <w:bottom w:w="28" w:type="dxa"/>
          <w:right w:w="28" w:type="dxa"/>
        </w:tblCellMar>
      </w:tblPr>
      <w:tblGrid>
        <w:gridCol w:w="5341"/>
        <w:gridCol w:w="243"/>
        <w:gridCol w:w="780"/>
        <w:gridCol w:w="168"/>
        <w:gridCol w:w="168"/>
        <w:gridCol w:w="243"/>
        <w:gridCol w:w="780"/>
        <w:gridCol w:w="146"/>
        <w:gridCol w:w="146"/>
        <w:gridCol w:w="211"/>
        <w:gridCol w:w="571"/>
        <w:gridCol w:w="191"/>
      </w:tblGrid>
      <w:tr>
        <w:trPr/>
        <w:tc>
          <w:tcPr>
            <w:tcW w:w="53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insurance and other costs</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general and administrative expenses</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14,310</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by $3.0 million, from $11.3 million for the six months ended June 30, 2025 to $14.3 million for the six months ended June 30, 2026. This increase was primarily attributable to a $2.6 million increase in personnel-related expenses, primarily due to an increase in severance costs of $1.1 million and an increase in stock-based compensation expense of $0.9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for the six months ended June 30, 2026 and 2025 was $1.7 million and $3.4 million, respectively. The decrease of $1.7 million was primarily due to lower interest and investment income and lower sublease income.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had cash, cash equivalents and marketable debt securities of $33.0 million as of June 30, 2026, including $10.0 million from the Private Placement proceeds received in advance on June 30, 2026. For the three months ended June 30, 2026 and 2025, we had net losses of $25.3 million and $18.4 million, respectively. For the six months ended June 30, 2026 and 2025, we had net losses of $48.6 million and $39.5 million, respectively. As of June 30, 2026, we had an accumulated deficit of $491.8 million and net equity of $11.4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26, 2025, we filed a registration statement on Form S-3 with the SEC for the issuance of common stock, preferred stock, warrants, debt securities, rights and units with an aggregate offering price of up to $350.0 million. On December 9, 2025, the registration statement was declared effective by the SEC. The registration statement includes an at-the-market (“ATM”) offering program for the sale of up to $150.0 million of shares of our common stock. During the three and six months ended June 30, 2026 and 2025, we did not sell any shares under the ATM program. As of June 30, 2026, we had $150.0 million of remaining capacity available under the ATM facility.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2, 2026, we completed the Private Placement with certain accredited investors and issued and sold to the Purchasers an aggregate of (i) 19,600,153 shares of common stock at a purchase price of $2.551 per share, and (ii) common warrants to purchase up to an equal amount of shares of common stock at an exercise price of $3.289 per Common Warrant. The Common Warrants will be exercisable on or after the earlier of (i) the date on which we first publicly disclose clinical data from MICVO Phase 1 monotherapy study in 2L+ R/M HNSCC, or (ii)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October 1, 2026, and the Common Warrants will expire on July 2, 2029. We received upfront gross proceeds from the issuance of common stock under the Private Placement of approximately $50 million (of which $10.0 million was received on June 30, 2026), before deducting placement agent fees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activities, particularly as we advance further clinical trials for MICVO. The timing and amount of our funding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associated with monotherapy and combination therapy clinical trials for MICVO;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drug products and drug substance for MICVO;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our other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of the development efforts of parties with whom we have entered, or may in the future enter into, in-licensing, collaborations and research and development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our product candidate for which we receive marketing licensure;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current licenses and research and development programs and to establish new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maintaining and enforcing patent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licenses;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legal and other regulatory compliance expenses to operate as a public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Until such time, if ever, we can generate substantial product revenues, we expect to continue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 that we would otherwise prefer to develop and market ourselves. </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periods presented (in thousands): </w:t>
      </w:r>
    </w:p>
    <w:tbl>
      <w:tblPr>
        <w:tblW w:w="7516" w:type="dxa"/>
        <w:jc w:val="left"/>
        <w:tblInd w:w="0" w:type="dxa"/>
        <w:tblLayout w:type="fixed"/>
        <w:tblCellMar>
          <w:top w:w="28" w:type="dxa"/>
          <w:left w:w="28" w:type="dxa"/>
          <w:bottom w:w="28" w:type="dxa"/>
          <w:right w:w="28" w:type="dxa"/>
        </w:tblCellMar>
      </w:tblPr>
      <w:tblGrid>
        <w:gridCol w:w="4921"/>
        <w:gridCol w:w="228"/>
        <w:gridCol w:w="796"/>
        <w:gridCol w:w="179"/>
        <w:gridCol w:w="157"/>
        <w:gridCol w:w="228"/>
        <w:gridCol w:w="796"/>
        <w:gridCol w:w="211"/>
      </w:tblGrid>
      <w:tr>
        <w:trPr/>
        <w:tc>
          <w:tcPr>
            <w:tcW w:w="492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3,433</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used in operating activities was $44.2 million, which consisted of our net loss of $48.6 million, partially offset by non-cash charges of $7.5 million and a net change in our operating assets and liabilities of $3.1 million. The non-cash charges of $7.5 million were primarily due to $6.7 million of stock-based compensation, $0.8 million of depreciation and amortization expense and $0.5 million of non-cash operating lease expense, partially offset by $0.4 million related to accretion of discounts on marketable debt securities. The net change in our operating assets and liabilities was primarily due to a decrease in accounts payable of $7.6 million, partially offset by an increase in accrued expenses and other current liabilities of $4.0 million, primarily related to the timing of vendor payments and services performed related to our ongoing clinical trials. Further, net changes in our operating assets and liabilities also consists of a reduction in operating lease liabilities of $0.8 million and an increase in prepaid expenses and other current assets of $1.5 million.</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used in operating activities was $39.8 million, which consisted of our net loss of $39.5 million and a net change in our operating assets and liabilities of $6.4 million, partially offset by non-cash charges of $6.0 million. The non-cash charges of $6.0 million were primarily due to $6.6 million of stock-based compensation and $1.1 million of depreciation and amortization expenses, offset by $2.0 million related to accretion of discounts on marketable debt securities. The net change in our operating assets and liabilities was primarily due to an increase in receivables by $3.0 million, prepaid expenses and other current assets by $2.5 million, a decrease in accrued expenses and other current liabilities by $4.7 million and an increase in accounts payable by $4.5 million primarily related to the timing of vendor payments and services performed related to our ongoing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investing activities was $37.7 million, which consisted primarily of redemptions of marketable debt securities of $51.7 million, partially offset by purchases of marketable debt securities of $14.0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investing activities was $31.1 million, which consisted primarily of redemptions of marketable debt securities of $123.6 million, partially offset by purchases of marketable debt securities of $92.5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$10.0 million, which consisted primarily of proceeds received in advance of the Private Placement, partially offset by tax withholding payments related to net settlement of restricted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used in financing activities was $0.1 million, which consisted primarily of tax withholding payments related to the net settlement of restricted common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Outlook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approximately $33.0 million in cash, cash equivalents and marketable debt securities. Additionally, on July 2, 2026, we completed the Private Placement which resulted in gross proceeds of approximately $50 million (of which $10.0 million was received on June 30, 2026), before deducting placement agent commissions and offering expenses. We believe that our cash, cash equivalents and marketable debt securities as of June 30, 2026, along with the proceeds from the Private Placement will be sufficient to fund our operations into the second quarter of 2027. However, we have based this estimate on assumptions that may prove to be incorrect, and our operating plan may change as a result of many factors currently unknown to us. In addition, we may utilize our available capital resources sooner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cash flows are dependent on key variables such as our ability to secure additional sources of funding in the form of public or private financing of equity or debt or collaboration agreements or a combination of these. While we remain optimistic to obtain additional funding, the current available cash, cash equivalents and marketable debt securities, even after giving effect to the proceeds from the Private Placement, will not be sufficient to fund our operations over the next 12 months from the date of this Quarterly Report on Form 10-Q. This condition raises substantial doubt about our ability to continue as a going concern for one year from the date the unaudited condensed consolidated financial statements are issued.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 obligation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lease an office and laboratory space in Boston, Massachusetts with lease payments that continue through December 31, 2032, and have scheduled rent increases each year of 3%. The remaining contractual fixed lease payments, over the term of the lease aggregate to $24.1 million. The operating lease obligation is discussed in Note 10, </w:t>
      </w:r>
      <w:r>
        <w:rPr>
          <w:rFonts w:ascii="Times New Roman" w:hAnsi="Times New Roman"/>
          <w:i/>
          <w:color w:val="000000"/>
          <w:sz w:val="20"/>
        </w:rPr>
        <w:t>Leases</w:t>
      </w:r>
      <w:r>
        <w:rPr>
          <w:rFonts w:ascii="Times New Roman" w:hAnsi="Times New Roman"/>
          <w:color w:val="000000"/>
          <w:sz w:val="20"/>
        </w:rPr>
        <w:t xml:space="preserve"> to our unaudited condensed consolidated financial statements included in Part I, Item 1 of this Quarterly Report on Form 10-Q for further information.</w:t>
      </w:r>
    </w:p>
    <w:p>
      <w:pPr>
        <w:pStyle w:val="TextBody"/>
        <w:bidi w:val="0"/>
        <w:spacing w:before="120" w:after="283"/>
        <w:jc w:val="both"/>
        <w:rPr>
          <w:rFonts w:ascii="Times New Roman" w:hAnsi="Times New Roman"/>
          <w:sz w:val="20"/>
        </w:rPr>
      </w:pPr>
      <w:r>
        <w:rPr>
          <w:rFonts w:ascii="Times New Roman" w:hAnsi="Times New Roman"/>
          <w:b/>
          <w:i/>
          <w:color w:val="000000"/>
          <w:sz w:val="20"/>
        </w:rPr>
        <w:t>Other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enter into licensing and related agreements in the normal course of business. In accordance with these agreements, we are obligated to pay, among other items, future contingent payments, royalties, and sublicensing revenues in the future, as applicable. We have not included potential future payments due under these licensing and collaboration agreements in contractual obligations because the payment obligations under the agreements are contingent upon future events. Refer to Note 6, </w:t>
      </w:r>
      <w:r>
        <w:rPr>
          <w:rFonts w:ascii="Times New Roman" w:hAnsi="Times New Roman"/>
          <w:i/>
          <w:color w:val="000000"/>
          <w:sz w:val="20"/>
        </w:rPr>
        <w:t>Licensing Agreements</w:t>
      </w:r>
      <w:r>
        <w:rPr>
          <w:rFonts w:ascii="Times New Roman" w:hAnsi="Times New Roman"/>
          <w:color w:val="000000"/>
          <w:sz w:val="20"/>
        </w:rPr>
        <w:t>, to our unaudited condensed consolidated financial statements included in Part I, Item 1 of this Quarterly Report on Form 10-Q for further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enter into contracts in the normal course of business with CDMOs, CROs, and other third parties for preclinical work and clinical development related work. These contracts do not contain minimum purchase commitments and are cancelable by us upon prior written notice. Payments due upon cancellation consist only of payments for services provided or expenses incurred, including non-cancelable obligations of our service providers, up to the date of cancellation. These payments are not included in the contractual obligations above as the amount and timing of such payments are not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Securities and Exchange Commission. </w:t>
      </w:r>
    </w:p>
    <w:p>
      <w:pPr>
        <w:pStyle w:val="TextBody"/>
        <w:bidi w:val="0"/>
        <w:spacing w:before="120" w:after="283"/>
        <w:jc w:val="both"/>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are prepared in accordance with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and estimates as compared to those described in “Note 2 – Summary of Significant Accounting Policies” to our audited financial statements set forth in our Fiscal 2025 10-K.</w:t>
      </w:r>
    </w:p>
    <w:p>
      <w:pPr>
        <w:pStyle w:val="TextBody"/>
        <w:bidi w:val="0"/>
        <w:spacing w:before="12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information with respect to recently issued accounting standards and the impact of these standards on our unaudited condensed consolidated financial statements, 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consolidated financial statements included in Part I, Item 1 of this Quarterly Report on Form 10-Q.</w:t>
      </w:r>
    </w:p>
    <w:p>
      <w:pPr>
        <w:pStyle w:val="TextBody"/>
        <w:bidi w:val="0"/>
        <w:spacing w:before="120" w:after="283"/>
        <w:jc w:val="both"/>
        <w:rPr>
          <w:rFonts w:ascii="Times New Roman" w:hAnsi="Times New Roman"/>
          <w:sz w:val="20"/>
        </w:rPr>
      </w:pPr>
      <w:r>
        <w:rPr>
          <w:rFonts w:ascii="Times New Roman" w:hAnsi="Times New Roman"/>
          <w:color w:val="000000"/>
          <w:sz w:val="20"/>
        </w:rPr>
        <w:t>Ju</w:t>
      </w:r>
      <w:r>
        <w:rPr>
          <w:rFonts w:ascii="Times New Roman" w:hAnsi="Times New Roman"/>
          <w:b/>
          <w:color w:val="000000"/>
          <w:sz w:val="20"/>
        </w:rPr>
        <w:t>mpstart Our Business Startups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We are also a “smaller reporting company,” meaning that the market value of our shares held by non-affiliates is less than $700 million and our annual revenues were less than $100 million during the most recently completed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revenues, we would not be required to obtain an attestation report on internal control over financial reporting issued by our independent registered public accounting firm.</w:t>
      </w:r>
    </w:p>
    <w:p>
      <w:pPr>
        <w:pStyle w:val="TextBody"/>
        <w:bidi w:val="0"/>
        <w:spacing w:before="120" w:after="283"/>
        <w:jc w:val="both"/>
        <w:rPr>
          <w:rFonts w:ascii="Times New Roman" w:hAnsi="Times New Roman"/>
          <w:b/>
          <w:color w:val="000000"/>
          <w:sz w:val="20"/>
        </w:rPr>
      </w:pPr>
      <w:bookmarkStart w:id="11" w:name="item_3_quantitative"/>
      <w:bookmarkEnd w:id="11"/>
      <w:r>
        <w:rPr>
          <w:rFonts w:ascii="Times New Roman" w:hAnsi="Times New Roman"/>
          <w:b/>
          <w:color w:val="000000"/>
          <w:sz w:val="20"/>
        </w:rPr>
        <w:t>Item 3. Quantitative and Qualitative Disclosures About Market Risk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Under SEC rules and regulations, because we are considered to be a “smaller reporting company”, we are not required to provide the information required by this item in this report.</w:t>
      </w:r>
    </w:p>
    <w:p>
      <w:pPr>
        <w:pStyle w:val="TextBody"/>
        <w:bidi w:val="0"/>
        <w:spacing w:before="120" w:after="283"/>
        <w:jc w:val="both"/>
        <w:rPr>
          <w:rFonts w:ascii="Times New Roman" w:hAnsi="Times New Roman"/>
          <w:b/>
          <w:color w:val="000000"/>
          <w:sz w:val="20"/>
        </w:rPr>
      </w:pPr>
      <w:bookmarkStart w:id="12" w:name="item_4_controls"/>
      <w:bookmarkEnd w:id="12"/>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and Accounting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Principal Executive Officer and Principal Financial and Accounting Officer concluded that, as of the end of the period covered by this Quarterly Report on Form 10-Q, our disclosure controls and procedures were effective at the reasonable assurance level.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paragraph (d) of Exchange Act Rules 13a-15 or 15d-15 that occurred during the period covered by this Quarterly Report on Form 10-Q that have materially affected, or are reasonably likely to materially affect, our internal control over financial reporting.</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Inherent 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Principal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pStyle w:val="TextBody"/>
        <w:bidi w:val="0"/>
        <w:spacing w:before="120" w:after="283"/>
        <w:jc w:val="both"/>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4" w:name="item_1_legal"/>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that arise in the ordinary course of our business. We are not currently a party to any material legal proceedings, and are not aware of any pending or threatened legal proceeding against us that we believe could have an adverse effect on our business, operating results or financial condition.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_1a_rf"/>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color w:val="000000"/>
          <w:sz w:val="20"/>
        </w:rPr>
        <w:t>Our business involves a high degree of risk. You should consider and read carefully all of the risks and uncertainties described below, as well as other inf</w:t>
      </w:r>
      <w:r>
        <w:rPr>
          <w:rFonts w:ascii="Times New Roman" w:hAnsi="Times New Roman"/>
          <w:i/>
          <w:color w:val="000000"/>
          <w:sz w:val="20"/>
        </w:rPr>
        <w:t>ormation included in this Form 10-Q, including our financial statements and related notes appearing in this Form 10-Q.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r>
        <w:rPr>
          <w:rFonts w:ascii="Times New Roman" w:hAnsi="Times New Roman"/>
          <w:color w:val="000000"/>
          <w:sz w:val="20"/>
        </w:rPr>
        <w: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both"/>
        <w:rPr>
          <w:rFonts w:ascii="Times New Roman" w:hAnsi="Times New Roman"/>
          <w:sz w:val="20"/>
        </w:rPr>
      </w:pPr>
      <w:r>
        <w:rPr>
          <w:rFonts w:ascii="Times New Roman" w:hAnsi="Times New Roman"/>
          <w:b/>
          <w:color w:val="000000"/>
          <w:sz w:val="20"/>
        </w:rPr>
        <w:t>We are a clinical stage oncology company with a limited operating history and have incurred significant losses since our inception and anticipate that we will continue to incur losses over at least the next several years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incurred significant operating losses. We reported net losses of $48.6 million and $39.5 million for the six months ended June 30, 2026 and 2025, respectively. As of June 30, 2026, we had an accumulated deficit of $491.8 million. To date, we have not generated any revenues from product sales and have financed our operations primarily through equity offerings. As such, we expect that it will be several years, if ever, before we have a product candidate ready for regulatory licensure and commercialization. We may never succeed in these activities and, even if we do, may never generate revenues that are significant enough to achieve profitability. To become and remain profitable, we must succeed in developing, obtaining marketing licensure for and commercializing products that generate significant revenue. This will require us to be successful in a range of challenging activities, including, without limitation, procuring clinical- and commercial-scale manufacturing, successfully completing preclinical studies and clinical trials of our product candidate, establishing arrangements with third parties for the conduct of our clinical trials, obtaining marketing licensure for our product candidate, manufacturing, marketing and selling any products for which we may obtain marketing licensure, discovering or obtaining rights to additional product candidates, identifying collaborators to develop product candidates we identify or additional uses of our existing product candidate and successfully completing development of our product candidate for our collaboration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at least the next several years.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conduct clinical trials and seek regulatory approvals for MICVO;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external manufacturing capabilities for later stage trials and to commercialize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maintain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establish a sales, marketing and distribution infrastructure for which we may obtain marketing licensure;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scientific, operational, financial and management information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expenses could increase beyond our expectations if we are required by the U.S. Food and Drug Administration (FDA), the European Medicines Agency (EMA) or other comparable regulatory authorities to perform trials in addition to those that we currently expect to perform, or if we experience any delays in establishing appropriate manufacturing arrangements for completing our clinical trials or the clinical development of our product candidate.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continue operations. A decline in the value of our company, or in the value of our common stock, could also cause investors to lose all or part of their investment.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are able to generate revenues from the sale or out-licensing of any approved products, we may not become profitable and may need to obtain additional funding to continue operations. </w:t>
      </w:r>
    </w:p>
    <w:p>
      <w:pPr>
        <w:pStyle w:val="TextBody"/>
        <w:bidi w:val="0"/>
        <w:spacing w:before="120" w:after="283"/>
        <w:jc w:val="both"/>
        <w:rPr>
          <w:rFonts w:ascii="Times New Roman" w:hAnsi="Times New Roman"/>
          <w:sz w:val="20"/>
        </w:rPr>
      </w:pPr>
      <w:r>
        <w:rPr>
          <w:rFonts w:ascii="Times New Roman" w:hAnsi="Times New Roman"/>
          <w:b/>
          <w:color w:val="000000"/>
          <w:sz w:val="20"/>
        </w:rPr>
        <w:t>We may need to raise substantial additional capital in the near term, which may result in dilution to our stockholders or impose additional restrictions on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our current cash position and ongoing clinical development expenses, we may seek additional financing through equity offerings, debt financings, collaborations or other strategic transactions. In addition, we recently completed the private placement financing subsequent to June 30, 2026, which includes warrants, and we may seek additional financing in the future to support continued development of MICVO and our operations. Any such financing may result in significant dilution to existing stockholders, impose restrictive covenants, or require us to relinquish rights to our technologies or product candidates. In addition, adverse market conditions or volatility in the biotechnology sector may limit our ability to raise capital on acceptable terms, or at all.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We have substantial doubt about our ability to continue as a going concern and we will require substantial additional capital to finance our operations. If we are unable to raise such capital when needed, or on acceptable terms, we may not be able to continue as a going concern or we may be forced to delay, reduce or eliminate one or more of our research and product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recurring losses from operations raise substantial doubt about our ability to continue as a going concern. As a result, the financial statements accompanying this Quarterly Report on Form 10-Q include a statement that there is substantial doubt about our ability to continue as a going concern for one year after the date the financial statements were issued, and these financial statements do not include any adjustments that might result from the outcome of this uncertainty.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continue our clinical trials for MICVO. As of June 30, 2026, we had approximately $34.5 million in cash, cash equivalents, restricted cash and marketable debt securities. On July 2, 2026, we completed the Private Placement with certain institutional accredited investors and received gross proceeds from the issuance of common stock under the Private Placement of approximately $50 million (of which $10.0 million was received on June 30, 2026), before deducting placement agent fees and offering expenses. We believe that our cash, cash equivalents and marketable debt securities as of June 30, 2026, even after giving effect to the proceeds received from the Private Placement, will not be sufficient to fund the Company's operations over the next 12 months from the date these unaudited condensed consolidated financial statements were included within this Quarterly Report on Form 10-Q. Accordingly, we will need to obtain substantial additional funding in order to continue our operations. However, we have based this estimate on assumptions that may prove to be incorrect, and our operating plan may change as a result of many factors currently unknown to us. In addition, we may utilize our available capital resources sooner than we expect. Even if our product candidate is approved for commercial sale, we anticipate incurring significant costs associated with sales, marketing, manufacturing and distribution activities. Our expenses could increase beyond expectations if we are required by the FDA, the EMA or other comparable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changing circumstances, some of which may be beyond our control, including market volatility resulting from global economic developments, political unrest, high inflation and other factors, could cause us to consume capital significantly faster than we currently anticipate, and we may need to seek additional funds sooner than planned.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intend to use our cash and cash equivalents for development and regulatory activities relating to our product candidate, and other general corporate purposes. Advancing the development of our product candidate will require a significant amount of capital. Our cash and cash equivalents will not be sufficient to fund our product candidate through regulatory licensure. The timing and amount of our operating expenditures will depend largely 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associated with dose escalation and dose expansion mono and combo clinical trials for our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manufacture of drug products and drug substance for our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progress of our other preclinical and clinical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our product candidate for which we receive marketing licensure;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our current licenses and research and development programs and to establish new collaboration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prosecuting, maintaining, enforcing and expanding patent and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timing of regulatory licenses;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insurance, legal and other regulatory compliance expenses to operate as a public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funding on a timely basis or on acceptable terms, we may not be able to continue as a going concern, we may have to delay, reduce or terminate our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our product candidate that we would otherwise pursue on our own. We will be required to seek additional funding in the future and our ability to raise additional funds will depend on financial, economic and other factors, many of which are beyond our control. Additional funds may not be available to us on acceptable terms or at all. For example, market volatility resulting from global economic developments, political unrest, high inflation and other factors could adversely impact our ability to access capital as and when needed.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 In addition, changes in global macroeconomic conditions and government trade policies could further increase our operating costs and accelerate our need for additional capital. New or increased tariffs, import surcharges, trade restrictions, retaliatory measures, or other limitations on the movement of goods and services, whether imposed by the United States or other jurisdictions, could increase the cost of materials, equipment and services used in our research, development and manufacturing activities. Such measures could also disrupt global supply chains, increase transportation and logistics costs, and create delays in the delivery of clinical supplies. Any of these developments could materially increase our cash burn, delay development timelines, and adversely affect our ability to obtain additional financing on acceptable terms, or at all.</w:t>
      </w:r>
    </w:p>
    <w:p>
      <w:pPr>
        <w:pStyle w:val="TextBody"/>
        <w:bidi w:val="0"/>
        <w:spacing w:before="120" w:after="283"/>
        <w:jc w:val="both"/>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the Development of our Product Candidate</w:t>
      </w:r>
    </w:p>
    <w:p>
      <w:pPr>
        <w:pStyle w:val="TextBody"/>
        <w:bidi w:val="0"/>
        <w:spacing w:before="120" w:after="283"/>
        <w:jc w:val="both"/>
        <w:rPr>
          <w:rFonts w:ascii="Times New Roman" w:hAnsi="Times New Roman"/>
          <w:sz w:val="20"/>
        </w:rPr>
      </w:pPr>
      <w:r>
        <w:rPr>
          <w:rFonts w:ascii="Times New Roman" w:hAnsi="Times New Roman"/>
          <w:b/>
          <w:color w:val="000000"/>
          <w:sz w:val="20"/>
        </w:rPr>
        <w:t>Clinical testing and product development is a lengthy and expensive process with an uncertain outcome. We may incur unexpected costs or experience delays in completing, or ultimately be unable to complete, the clinical testing and the development and commercialization of our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obtaining marketing approval from regulatory authorities for the sale of our product candidate, we or our collaborators must conduct extensive trials to demonstrate the safety and efficacy of the product candidate. 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licensure or commercialize our product candidate,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reaching, or the failure to reach, a consensus with regulators on clinical trial design;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 or other materials necessary to conduct clinical trials of our product candidate may be insufficient or inadequate, including as a result of delays in the testing, validation, manufacturing and delivery of product candidate to the clinical sites by us or by third parties with whom we have contracted to perform certain of those functions;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reaching, or the failure to reach, agreement on acceptable clinical trial contracts or clinical trial protocols with prospective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of regulators or institutional review boards to authorize us or our investigators to commence a clinical trial or conduct a clinical trial at a prospective trial site;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difficulty in designing clinical trials and in selecting endpoints for diseases that have not been well studied and for which the natural history and course of the disease is poorly understood;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selection of certain clinical endpoints that may require prolonged periods of clinical observation or analysis of the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receive feedback from regulatory authorities that requires us to modify the design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 may be larger than we anticipate, enrollment in these clinical trials may be slower than we anticipate, participants may fail during screening or drop out of these clinical trials at a higher rate than we anticipate or fail to return for post-treatment follow-up or the failure to recruit suitable patients to participate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 may have undesirable side effects or other unexpected characteristics, causing us or our investigators, regulators or institutional review boards to suspend or terminate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to suspend or terminate clinical trials of our product candidate for various reasons, including a finding that the participants are being exposed to unacceptable safety risks or that the benefit-risk ratio is negative;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third parties with whom we contract may fail to comply with regulatory requirements or meet their contractual obligations to us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from regulators or institutional review boards that we or our investigators suspend or terminate clinical trials for various reasons, including noncompliance with regulatory requirements or unacceptable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our product candidate may produce negative or inconclusive results and we may decide, or regulators may require us, to conduct additional clinical trials or abandon product candidate development and discovery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clinical trials of our product candidate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imposition of a clinical hold by regulatory authorities as a result of a serious adverse event, concerns with the class of our product candidate or after an inspection of our clinical trial operations, trial sites or manufacturing facilities;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occurrence of serious adverse events associated with the product candidate that are viewed to outweigh its potential benefits;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revise the requirements for approving our product candidate, or such requirements may not be as we anticipate;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developing and validating any companion diagnostic to be used in the trial, to the extent we are required to do so.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or comparable foreign regulatory authorities from which we seek marketing licensure may modify or enhance clinical trial requirements which may affect enrollment and retention of patients and may increase costs and delay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 beyond those that we currently contemplate, if we are unable to successfully complete clinical trials of our product candidate or other testing, if the results of these trials or tests are not positive or are only modestly positive or if there are safety concerns,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delayed in obtaining marketing licensure for our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obtain marketing licensure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licensure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licensure with labeling that includes significant use or distribution restrictions or safety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required to perform additional clinical trials to support marketing licensure;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regulatory authorities withdraw or suspend their license, or impose restrictions on distribution of the product candidate in the form of a modified REMS;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additional post-marketing testing requirements or changes in the way the product is administered;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 to receive approval of any companion diagnostics that may be required by the FDA or comparable foreign regulatory authorities in connection with approval of our therapeutic product candidate;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our product removed from the market after obtaining marketing licensure.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development costs also will increase if we experience delays in preclinical studies or clinical trials or in obtaining marketing licensure. We do not know whether any of our preclinical studies or clinical trials will need to be restructured or will be completed on schedule, or at all, even if completed, will yield the results that we anticipate or require. Significant preclinical study or clinical trial delays also could shorten any periods during which we may have the exclusive right to commercialize our product candidate, or could allow our competitors to bring products to market before we do and impair our ability to successfully commercialize our product candidate, which may harm our business, results of operations, financial condition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cancer therapies sometimes are characterized as first line, second line, third line or later. The FDA often approves or licenses new oncology therapies initially only for third line or later use, meaning for use after two or more other treatments have failed. When cancer is detected early enough, first line therapy, usually hormone therapy, surgery, radiation therapy, immunotherapy or a combination of these, is sometimes adequate to cure the cancer or prolong life without a cure. Second line and third line therapies are administered to patients when prior therapy is not effective. Our clinical trials are, and any future clinical trials will be, with patients with difficult to treat cancer. We expect that we would initially seek regulatory licensure for use of this product candidate in appropriate treatment settings. Subsequently, for those products that prove to be sufficiently beneficial, if any, we would expect to seek licensure potentially as a first line therapy, but any product candidate we develop, even if approved for second line or third line therapy, may not be approved for first line therapy and, prior to seeking and/or receiving any licensures for first line therapy, we may have to conduct additional clinical trials. </w:t>
      </w:r>
    </w:p>
    <w:p>
      <w:pPr>
        <w:pStyle w:val="TextBody"/>
        <w:bidi w:val="0"/>
        <w:spacing w:before="120" w:after="283"/>
        <w:jc w:val="both"/>
        <w:rPr>
          <w:rFonts w:ascii="Times New Roman" w:hAnsi="Times New Roman"/>
          <w:sz w:val="20"/>
        </w:rPr>
      </w:pPr>
      <w:r>
        <w:rPr>
          <w:rFonts w:ascii="Times New Roman" w:hAnsi="Times New Roman"/>
          <w:b/>
          <w:color w:val="000000"/>
          <w:sz w:val="20"/>
        </w:rPr>
        <w:t>We are heavily dependent on the success of our product candidate, MICVO, which is in the early stages of clinical development. If MICVO is not successful in clinical trials or does not receive regulatory approval or licensure or is not successfully commercialized, our business will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invested a significant portion of our efforts and financial resources in the development of MICVO. Our future success is substantially dependent on our ability to successfully initiate and complete clinical development for, obtain regulatory licensure for, and successfully commercialize MICVO, which may never occur. We currently have no products that are approved or licensed for commercial sale and may never be able to develop a marketable product. We expect that a substantial portion of our efforts and expenditures over the next few years will be devoted to the clinical development, management of clinical and manufacturing activities, regulatory licensure, establishing commercial scale manufacturing, and significant sales, marketing, and distribution efforts related to MICVO before we can generate any revenues from any commercial sales. We cannot be certain that we will be able to successfully complete any of these activities or that, even if MICVO receives regulatory licensure, such product will be able to successfully compete against therapies and technologies offered by other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testing, manufacturing, labeling, licensure, sale, packaging, marketing, and distribution of biological products are subject to extensive regulation by the FDA and comparable regulatory authorities in other countries. We are not permitted to market MICVO in the U.S. until we receive licensure of a BLA or NDA from the FDA for such product candidate, as appropriate. Further, we are not permitted to market MICVO in any foreign countries until we receive the requisite licensure or approvals from such countries. We have not submitted a BLA or NDA to the FDA or comparable applications to any other comparable regulatory authorities for MICVO. We will not be in a position to do so for several years, if ever. If we are unable to obtain the necessary regulatory licensure or approvals for MICVO, our financial position will be materially adversely affected, and we may not be able to generate sufficient revenues to continue our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Evolving regulatory expectations for oncology drug development, including with respect to dose optimization and dose selection, could require additional studies and delay or prevent approval of our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expectations for oncology drug development continue to evolve. In recent years, regulatory authorities, including the U.S. Food and Drug Administration, have placed increased emphasis on dose optimization as part of Project Optimus and dose selection to balance efficacy and safety. These evolving expectations may require additional dose-ranging studies, expanded clinical trial designs, or generation of additional data beyond what we currently anticipate.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regulatory authorities impose additional requirements on our development program, we may incur substantial additional expense, experience delays in enrollment or completion of clinical trials, or be required to modify our development plans. Any of these outcomes could delay or prevent regulatory approval and materially adversely affect our business and prospects.</w:t>
      </w:r>
    </w:p>
    <w:p>
      <w:pPr>
        <w:pStyle w:val="TextBody"/>
        <w:bidi w:val="0"/>
        <w:spacing w:before="120" w:after="283"/>
        <w:jc w:val="both"/>
        <w:rPr>
          <w:rFonts w:ascii="Times New Roman" w:hAnsi="Times New Roman"/>
          <w:sz w:val="20"/>
        </w:rPr>
      </w:pPr>
      <w:r>
        <w:rPr>
          <w:rFonts w:ascii="Times New Roman" w:hAnsi="Times New Roman"/>
          <w:b/>
          <w:color w:val="000000"/>
          <w:sz w:val="20"/>
        </w:rPr>
        <w:t>Our product candidate may fail in development or suffer delays that materially and adversely affect its commercial viability. If we or our existing or future collaborators are unable to initiate and complete clinical development of, obtain regulatory approval or licensure for or commercialize our product candidate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achieve and sustain profitability depends on obtaining regulatory licensure for and successfully commercializing our product candidate, either alone or with third parties. Before obtaining regulatory licensure for the commercial distribution of our product candidate, we or an existing or future collaborator must conduct extensive preclinical studies and clinical trials to demonstrate the safety, purity and potency in humans of our product candidate. We may not have the financial resources to continue development of, or to modify existing or enter into new collaborations for, a product candidate if we experience any issues that delay or prevent regulatory licensure of, or our ability to commercialize, a product candidate,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negative or inconclusive results from preclinical studies or clinical trials leading to a decision or requirement to conduct additional preclinical studies or clinical trials or abandon a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product-related side effects experienced by participants in our clinical trials or by individuals using therapeutic biological products similar to our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in obtaining the necessary approvals from regulators to commence a clinical trial, or a suspension or termination of a clinical trial once commenced;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conditions imposed by the FDA, the EMA or other comparable authorities regarding the scope or design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enrolling patients in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 drop-out rates of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inadequate supply or quality of product candidate components or materials or other supplies necessary for the conduct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greater than anticipated clinical trial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poor effectiveness of our product candidate during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FDA, EMA or other comparable regulatory agency inspection and review of a clinical trial site;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of our third party contractors or investigators to comply with regulatory requirements or otherwise meet their contractual obligations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interpretations of data by the FDA, the EMA and other comparable foreign regulatory authorities;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landscape changes around market access and pricing policies that may impact reimbursement and product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the foregoing circumstances occur, we could experience significant delays or an inability to successfully commercialize our product candidate, which could materially harm our business. Moreover, if we do not receive regulatory approvals, we may not be able to continue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We have no experience as a company completing a clinical trial or submitting a BLA or NDA and may be unable to successfully do so for MICVO.</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conduct of a clinical trial is a long, expensive, complicated and highly regulated process. Although certain of our employees have conducted successful clinical trials and made regulatory submissions in the past across many therapeutic areas while employed at other companies, we, as a company, have not completed any clinical trials, or submitted a BLA or NDA, and as a result may require more time and incur greater costs than we anticipate. Failure to commence or complete, or delays in, our clinical trials or planned regulatory submissions would prevent us from, or delay us in, obtaining regulatory approval of and commercializing MICVO, which would adversely impact our financial performance. Large-scale clinical trials would require significant additional financial and management resources and heavier reliance on third party clinical research organizations (CROs) and consultants. Relying on third party CROs and consultants may cause us to encounter delays or other operational issues that are outside of our control. Although our third parties are required to comply with good laboratory practice (GLP) and good clinical practice (GCP) for any studies or trials we plan to submit to a regulatory authority, and have historically complied, relying on third parties in the conduct of our preclinical studies or clinical trials exposes us to a risk that they may not adequately comply with GLP or GCP in the future. We may be unable to identify and contract with sufficient investigators, CROs and consultants on terms that are acceptable to us on a timely basis or at all.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We may not be able to submit INDs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submit additional INDs in the future. We may experience manufacturing delays or other delays with IND-enabling studies.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such as the IND initiatives under Operation Trailblazer from the U.S. Department of Health and Human Services in 2026, or that circumstances will not arise under which FDA or other regulatory authorities may place our clinical trials on partial or full clinical hold. These considerations apply to the INDs described above and also to new clinical trials we may submit as amendments to existing INDs or as part of new INDs in the future. Any failure to submit INDs on the timelines we expect or to obtain authorization to proceed with our trials may prevent us from completing our clinical trials or commercializing our products on a timely basis, if at all.</w:t>
      </w:r>
    </w:p>
    <w:p>
      <w:pPr>
        <w:pStyle w:val="TextBody"/>
        <w:bidi w:val="0"/>
        <w:spacing w:before="120" w:after="283"/>
        <w:jc w:val="both"/>
        <w:rPr>
          <w:rFonts w:ascii="Times New Roman" w:hAnsi="Times New Roman"/>
          <w:sz w:val="20"/>
        </w:rPr>
      </w:pPr>
      <w:r>
        <w:rPr>
          <w:rFonts w:ascii="Times New Roman" w:hAnsi="Times New Roman"/>
          <w:b/>
          <w:color w:val="000000"/>
          <w:sz w:val="20"/>
        </w:rPr>
        <w:t>Our preclinical studies and clinical trials may fail to demonstrate adequately the safety, purity and potency of our product candidate, which would prevent or delay development, regulatory approval or licensure and commercialization.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obtaining regulatory licensure for the commercial sale of our product candidate we must demonstrate through lengthy, complex and expensive preclinical studies and clinical trials that our product candidate is safe, pure, and potent, as required under a BLA. Preclinical and clinical testing is expensive and can take many years to complete and the outcome of these activities is inherently uncertain. Failure can occur at any time during the preclinical studies and clinical trial processes and, because our product candidate is in an early stage of development, there is a high risk of failure. In addition, any failures or adverse outcomes in preclinical or clinical testing seen by other developers of a similar product candidate could materially impact the success of our program. We may never succeed in developing marketable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also possible that the results of preclinical studies and early clinical trials of our product candidate may not be predictive of the results of later-stage clinical trials. Although our product candidate may demonstrate promising results in preclinical studies and early clinical trials, it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a product candidate proceeding through preclinical studies and clinical trials. A product candidate in later stages of clinical trials may fail to show the desired safety, purity, and potency profile despite having progressed successfully through preclinical studies and/or initial clinical trials. Likewise, early, smaller-scale clinical trials may not be predictive of eventual safety, purity and potency in large-scale pivotal clinical trials. Many companies in the biopharmaceutical industry have suffered significant setbacks in advanced clinical trials due to lack of potency, insufficient durability of potency or unacceptable safety issues, notwithstanding promising results in earlier trials. Most product candidates that commence preclinical studies and clinical trials are never approved or licensed for commercialization. In addition, preclinical studies or clinical trials we conduct may contradict, undermine or otherwise not replicate or advance the results of the research programs and preclinical studies that were completed prior to our in-licensing or acquisition of our product candidate, which may materially and adversely affect our business,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our PYX-201-101 Phase 1 clinical trial is an open label study, where both the patient and investigator know whether the patient is receiving the investigational product candidate. Most typically, open label clinical trials test only the investigational product candidate and sometimes do so at different dose levels. Open-label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For instance, the FDA may also not consider open label clinical trials to be adequate and well controlled trials sufficient to support BLA licensure.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preclinical studies or clinical trials that we may conduct may not demonstrate the safety, purity, and potency necessary to obtain regulatory licensure to market our product candidate. If the results of our ongoing or future preclinical studies and clinical trials are inconclusive with respect to the safety, purity, and potency of our product candidate, if we do not meet the clinical endpoints with statistical and clinically meaningful significance or if there are safety concerns associated with our product candidate, we may be prevented or delayed in obtaining marketing licensure for the product candidate. In some instances, there can be significant variability in safety, purity, and potency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these or other side effects. If that were to occur, or if other developers of similar products were to find an unacceptable severity or prevalence of side effects with their candidates, our trials could be suspended or terminated, and the FDA or comparable foreign regulatory authorities could order us to cease further development of or deny licensure of our product candidate for any or all targeted indications. Product-related side effects could also affect patient recruitment or the ability of enrolled patients to complete an ongoing trial or result in potential product liability claims. Any of these occurrences may significantly harm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our product candidate could cause undesirable side effects in clinical trials related to on-target toxicity. If an unacceptable safety profile is observed or if our product candidate has characteristics that are unexpected, we may need to abandon its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For example, in December 2025, we announced preliminary data from our dose expansion phase of Phase 1 clinical trial of MICVO. Preliminary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is available. Differences between preliminary or interim data and final data could significantly harm our business prospects and may cause the trading price of our common stock to fluctuate significantly. This risk is heightened given the early-stage nature of our clinical data and small patient populations in ongoing studies. </w:t>
      </w:r>
    </w:p>
    <w:p>
      <w:pPr>
        <w:pStyle w:val="TextBody"/>
        <w:bidi w:val="0"/>
        <w:spacing w:before="120" w:after="283"/>
        <w:jc w:val="both"/>
        <w:rPr>
          <w:rFonts w:ascii="Times New Roman" w:hAnsi="Times New Roman"/>
          <w:sz w:val="20"/>
        </w:rPr>
      </w:pPr>
      <w:r>
        <w:rPr>
          <w:rFonts w:ascii="Times New Roman" w:hAnsi="Times New Roman"/>
          <w:b/>
          <w:color w:val="000000"/>
          <w:sz w:val="20"/>
        </w:rPr>
        <w:t>We are parties to and may in the future enter into additional agreements with third parties under which those parties have or will be granted a license to develop product candidates discovered using our APXiMAB Platform. If any such programs are not successful or if disputes arise related to such programs, we may not realize the full commercial benefits from such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APXiMAB Platform has enabled the discovery of several product candidates with potential utility in multiple therapeutic areas and has resulted in several programs that have been licensed to third parties, including larger global biopharmaceutical companies and mid-sized regional or China-focused companies. Such arrangements generally allow the licensing parties to control the amount and timing of resources that they dedicate to the development or potential commercialization of any product candidates they develop from the technology we have licensed to them, subject to any territorial or field of use restrictions in the license. Apexigen typically negotiated milestone payments and royalty fees from the licensees that will require various levels of success with their product candidate development program in order for us to generate revenue from them. Our ability to generate revenue from these licensing arrangements will depend on our counterparties’ abilities to successfully develop and commercialize the product candidates they are developing. We cannot predict the success of any licensing program that we have entered, or may enter, into or whether such program will lead to any meaningful milestone or royalty revenue to us. </w:t>
      </w:r>
    </w:p>
    <w:p>
      <w:pPr>
        <w:pStyle w:val="TextBody"/>
        <w:bidi w:val="0"/>
        <w:spacing w:before="120" w:after="283"/>
        <w:jc w:val="both"/>
        <w:rPr>
          <w:rFonts w:ascii="Times New Roman" w:hAnsi="Times New Roman"/>
          <w:sz w:val="20"/>
        </w:rPr>
      </w:pPr>
      <w:r>
        <w:rPr>
          <w:rFonts w:ascii="Times New Roman" w:hAnsi="Times New Roman"/>
          <w:b/>
          <w:color w:val="000000"/>
          <w:sz w:val="20"/>
        </w:rPr>
        <w:t>We may expend our resources to pursue a particular product candidate and fail to capitalize on product candidates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our limited financial and managerial resources, we must make strategic decisions as to which targets and product candidate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a potential product candidate could result in our focus on a product candidate with low market potential, which would harm our business, financial condition, results of operations and prospects. Our spending on current and future research, our product candidate and discovery programs for specific targets or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market may not be receptive to MICVO because it is based on our novel therapeutic modality, and we may not generate any future revenue from the sale or licensing of this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regulatory licensure is obtained for our product candidate, we may not gain sufficient market acceptance among physicians, patients, healthcare payors and others in the medical community. MICVO is based on the FACT Platform. Our future success depends on the successful development of this novel therapeutic approach. Additionally, the regulatory licensure process for a novel product candidate such as ours can be more expensive and take longer than for other, better-known or extensively-studied product candidates. No regulatory authority has granted licensure for any therapeutic using the FACT Platform. As a result of these factors, it is more difficult for us to predict the time and cost of product candidate development. Any development problems we experience in the future related to our program may cause significant delays or unanticipated costs or may prevent the development of a commercially viable product. Advancing our products creates significant challenges for us, including educating medical personnel regarding the potential potency and safety benefits, as well as the challenges, of incorporating our product candidate, if approved, into treatment regimens and establishing the sales and marketing capabilities to gain market acceptance, if approved.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factors may prevent us from commercializing our product candidate we may develop on a timely or profitable basis,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acceptance of our product candidate will depend on, among other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of our receipt of any marketing and commercialization licensures;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terms of any licensures and the countries in which licensures are obtained;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safety, purity, and potency of our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our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limitations or warnings contained in any labeling approved by the FDA, or other comparable foreign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relative convenience and ease of administration of our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patients to accept any new methods of administration;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physician education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adequate government and third party payor reimbursement;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pricing of our products, particularly as compared to alternative treatments;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alternative effective treatments for the disease indications our product candidate is intended to treat and the relative risks, benefits and costs of those treatments.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product candidate we commercialize fails to achieve market acceptance, it could have a material and adverse effect on our business, financial condition, results of operations and prospects.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We are early in our development efforts. Our lead product candidate, MICVO, is in the early stages of clinical development. The results of preclinical studies and early stage clinical trials may not be predictive of future results in later studies or trials. Initial success in clinical trials may not be indicative of results obtained when these trials are completed or in later-stage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preclinical studies may not be predictive of the results of clinical trials, and the results of any early stage clinical trials that are continuing may not be predictive of the results of the later stage clinical trials. In addition, initial success in clinical trials may not be indicative of results obtained when such trials are completed on in later stage clinical trials. In particular, the small number of patients in our Phase 1 clinical trial may make the result of this trial less predictive of the outcome of later clinical trials. Moreover, preclinical and clinical data often are susceptible to varying interpretations and analyses, and many companies that have believed their product candidate performed satisfactorily in preclinical studies and clinical trials nonetheless have failed to obtain marketing licensure of their products. Our clinical trials may not ultimately be successful or support further clinical development of MICVO. There is a high failure rate for a product candidate proceeding through clinical trials. Many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If we or our collaborators experience delays or difficulties in the enrollment of patients in our clinical trials, these clinical trials could be delayed or prevented.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continue clinical trials for our product candidate if we are unable to locate and enroll a sufficient number of eligible patients to participate in these trials, as required by the FDA or other comparable foreign regulatory authorities. Our ability to identify sites who will enroll eligible patients for clinical trials may turn out to be limited or we may be slower in enrolling these trials than we anticipate. In addition, some of our competitors have ongoing clinical trials for product candidates that treat the same indications as our product candidate and, as a result, patients who would otherwise be eligible for our clinical trials may instead elect to enroll in clinical trials of our competitors’ product candidates. Patient enrollment in clinical trials is also affected by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eligibility criteria for the trial in question;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competing clinical trials or approved therapies which present an attractive alternative to patients and their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perceived risks and benefits of the product candidate under study, including as a result of adverse effects observed in similar or competing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efforts to facilitate timely enrollment in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burden on patients due to the scope and invasiveness of required procedures under clinical trial protocols, some of which may be inconvenient and/or uncomfortable;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 that a high number of patients fail during screening or enrolled patients will drop out or die before completion of the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manufacture the requisite materials for a patient and clinical trial.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or our collaborators inability to timely enroll a sufficient number of patients for our clinical trials, based on the above factors or others, could result in significant delays and could require us to abandon one or more clinical trials altogether. Enrollment delays in our clinical trials may result in increased development costs for our product candidate, which would cause the value of our company to decline and limit our ability to obtain additional financing. </w:t>
      </w:r>
    </w:p>
    <w:p>
      <w:pPr>
        <w:pStyle w:val="TextBody"/>
        <w:bidi w:val="0"/>
        <w:spacing w:before="120" w:after="283"/>
        <w:jc w:val="both"/>
        <w:rPr>
          <w:rFonts w:ascii="Times New Roman" w:hAnsi="Times New Roman"/>
          <w:sz w:val="20"/>
        </w:rPr>
      </w:pPr>
      <w:r>
        <w:rPr>
          <w:rFonts w:ascii="Times New Roman" w:hAnsi="Times New Roman"/>
          <w:b/>
          <w:color w:val="000000"/>
          <w:sz w:val="20"/>
        </w:rPr>
        <w:t>Our product candidate may cause undesirable and unforeseen side effects or have other properties impacting safety that could halt its clinical development, delay or prevent its regulatory licensure, limit its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Undesirable side effects caused by our product candidate could cause regulatory authorities to interrupt, delay or halt clinical trials and could result in a more restrictive label or the delay or denial of regulatory licensure or approval by the FDA or other regulatory authorities. As is the case with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licensure or approval of our product candidate for any or all targeted indications. Such side effects could also affect patient recruitment or the ability of enrolled patients to complete the trial or result in potential product liability claims. Any of these occurrences may materially and adversely affect our business, financial condition,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clinical trials by their nature utilize a sample of the potential patient population. With a limited number of patients and limited duration of exposure, rare and severe side effects of our product candidate may only be uncovered with a significantly larger number of patients exposed to the product candidate.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that our product candidate receives regulatory licensure or approval and we or others later identify undesirable side effects, any of the following adverse events could occur, which could result in significant negative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withdraw their licensure or approval of the product or seize the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recall the product or change the way the product is administered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fines, injunctions or the imposition of civil or criminal penalties;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such side effects for distribution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both"/>
        <w:rPr>
          <w:rFonts w:ascii="Times New Roman" w:hAnsi="Times New Roman"/>
          <w:sz w:val="20"/>
        </w:rPr>
      </w:pPr>
      <w:r>
        <w:rPr>
          <w:rFonts w:ascii="Times New Roman" w:hAnsi="Times New Roman"/>
          <w:b/>
          <w:color w:val="000000"/>
          <w:sz w:val="20"/>
        </w:rPr>
        <w:t>If we do not achieve our projected development goals in the timeframes we announce and expect, the commercialization of our products may be delayed and, as a result, our stock price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and may be associated with payments from collaborators. From time to time, we may publicly announce the expected timing of some of these milestones. All of these milestones are and will be based on numerous assumptions. The actual timing of these milestones may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before="120" w:after="283"/>
        <w:jc w:val="both"/>
        <w:rPr>
          <w:rFonts w:ascii="Times New Roman" w:hAnsi="Times New Roman"/>
          <w:sz w:val="20"/>
        </w:rPr>
      </w:pPr>
      <w:r>
        <w:rPr>
          <w:rFonts w:ascii="Times New Roman" w:hAnsi="Times New Roman"/>
          <w:b/>
          <w:color w:val="000000"/>
          <w:sz w:val="20"/>
        </w:rPr>
        <w:t>We may face significant competition from other oncology-focused biotechnology and pharmaceutical entities,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therapeutic biological products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 Competitive therapeutic treatments include those that have already been approved or licensed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a product candidate. The biotechnology and pharmaceutical industries, including the oncology subsector, are characterized by rapidly evolving technologies, intense competition and strong defense of intellectual property and proprietary technologies. Any product candidate that we successfully commercialize may be competitive with currently marketed therapies and any new therapies commercialized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aware of several companies that are developing cancer immunotherapies, ADCs and other therapies for patients with HNSCC and other solid tumors targeted by our development programs. Many of these companies are well-capitalized and, in contrast to us, have significant clinical experience, and may include our existing or future collaborators. In addition, these companies compete with us in recruiting scientific and managerial talent and the patient pool available for participation in clinical trials which could negatively impact our ability to execute our business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will partially depend on our ability to develop and protect therapeutics that are safer, purer, and more potent than competing products. Our commercial opportunity and success will be reduced or eliminated if competing products that are safer, more effective, or less expensive than the therapeutics we develop are commercialized.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product candidate is licensed, it will compete with a range of therapeutic treatments that are either in development or currently marketed. Many companies are active across various stages of development in the oncology subsector and are marketing and developing products that employ similar ADC and immunotherapy approaches.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Numerous ADCs and immunotherapies are currently in clinical and preclinical development worldwide for the treatment of various cancer indications, including indications targeted by MICVO. These programs are being developed by both large pharmaceutical companies and emerging biotechnology companies, many of which have substantially greater financial, development, regulatory, manufacturing and commercialization resources than we do. Multiple companies are also involved in the development of ADC therapeutics and immunotherapies, including, but not limited to, AbbVie Inc., Abcure, Inc., ADC Therapeutics SA, Alligator Bioscience AB, Astellas Pharma, Inc., AstraZeneca plc, Celldex Therapeutics, Inc., Daiichi Sankyo Company, Ltd., Eucure Biopharma, a subsidiary of Biocytogen, Genentech, Inc., Gilead Sciences, Inc, GlaxoSmithKline, plc, Johnson &amp; Johnson, Lyvgen Biopharma, Nextcure, Inc., Pfizer, Philogen S.p.A., Merck Sharpe &amp; Dohme (MSD), Corbus Pharmaceuticals, and Rakuten Medical,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could also face competition with respect to specific targets, including the target of our ADC, MICVO, EDB+FN, by Philogen S.p.A., a Swiss based Biotechnology company, focused on generating antibody-cytokine fusions (immunocytokines) against cancers, using the L19 antibody specific to the EDB domain of Fibronectin fused to TNF, a potent inflammatory cytokine, which could pursue similar indications targeting EDB and stand out as the first non-ADC therapy pursuing EDB+FN.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other emerging agents in key indications of interest including R/M HNSCC. Genmab’s EGFR and LGR5 targeting biclonal, petosemtamab, Bicara’s EGFR/TGF-beta targeting bifunctional, ficerafusp alfa (BCA101), and Johnson and Johnson’s EGFR and cMET bispecific antibody, amivantamab, are notable competitors that are targeting patient populations of interest to MICVO and pose a potentially significant threat to our clinical development strategy. Additionally, Corbus Pharmaceuticals’ nectin-4 targeting ADC, CRB-701, is being developed in R/M HNSCC and may compete directly with MICVO for patients, investigators, clinical trial sites, development resources and future commercial opportunities. As competing therapies advance through clinical development and potentially move into later-stage or registrational studies, they may reduce the market opportunity for MICVO or diminish its competitive positioning.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competitors may also include agents targeting specific segments such as HPV+ HNSCC, namely NeoTrail Therapeutics (formerly Hookipa)’s and PDS Biotech’s vaccines and agents such as Nanobiotix’s radioenhancer that may be used earlier in the treatment sequence. With the approval of pembrolizumab in the peri-operative setting based on Keynote-689, use of IO in the neoadjuvant and adjuvant settings may shift how HPV patients are treated in earlier lines of therapy. The implementation of using IO in the earlier disease settings could impact patient segmentation and treatment choices in the R/M setting. The treatment landscape for HNSCC continues to evolve rapidly. Changes in standards of care, including increased use of immunotherapy and combination regimens in earlier lines of therapy, may alter patient treatment pathways, reduce the addressable patient population for MICVO in certain settings, increase regulatory expectations, or require us to conduct additional clinical trials to remain commercially competitive.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ADCs such as Gilead’s TROP-2 ADC, sacituzumab govitecan, Pfizer’s Nectin-4 targeting ADC, enfortumab vedotin and AZ’s AZD9592, a dual targeting ADC against EGFR and cMET are in clinical development in HNSCC. Enfortumab vedotin is currently pursuing a 1L HNSCC trial in combination with pembrolizumab thus adding to the crowded landscape of combo studies in the frontline setting. Additional competition may arise from other combination regimens being evaluated including but not limited to ficlatuzumab + cetuximab (2L), ivonescimab + ligufalimab (1L, CPS&gt;1) and LN-145 + pembrolizumab (1L). Additionally, there is a wide array of activity in the development of immunotherapies for oncology which may be competitive with our preclinical discovery programs. Furthermore, if our product candidate is approved in oncology indications such as breast cancer, hematological and other cancers, they may compete with existing approaches to treating cancer including surgery, radiation, and drug therapy, including conventional chemotherapy, biological products, and targeted drug small molecule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competitors have significantly greater scientific, research and development capabilities, as well as greater financial, technical, manufacturing, marketing, sales and supply resources or experience than we do. Competitive products may make any products we develop obsolete owing to treatment paradigm shifts or noncompetitive, reducing the addressable market before we recover the expense of developing and commercializing our product candidate. Such competitors could also recruit our employees, which could negatively impact our level of expertise and our ability to execute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ability to successfully compete will depend on,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develop and protect therapeutics that are more effective and safer than competing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innovate with rapidly evolving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ease with which our products can be administered and the extent to which patients accept relatively new routes of administration;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scope of regulatory licenses for these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product candidate and whether coverage and adequate levels of reimbursement are available under health insurance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utilize any abbreviated licensure pathways;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we are granted market exclusivity for any product candidate we may develop that is licensed as a biological product under a Biologics License Application (BLA).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Our business entails a significant risk of product liability, and if we are unable to obtain sufficient insurance coverage, such failure could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be exposed to significant product liability risks inherent in the development, testing and manufacturing of our product candidate and products, if approved. Product liability claims could delay or prevent completion of product candidate development programs. If we succeed in marketing products, such claims could result in an FDA investigation of the safety and effectiveness of our products, our third party manufacturer’s processes and facilities or our marketing programs and potentially a recall of our products or more serious enforcement action, including limitations on the approved indications for which our product candidate may be used or suspension or withdrawal of licenses.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In addition, we may be subject to liability based on the actions of our existing or future collaborators in connection with their development of products using the FACT Platform or the APXiMAB Platform.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Regulatory Licensure or Approval and Other Legal Compliance Matters</w:t>
      </w:r>
    </w:p>
    <w:p>
      <w:pPr>
        <w:pStyle w:val="TextBody"/>
        <w:bidi w:val="0"/>
        <w:spacing w:before="120" w:after="283"/>
        <w:jc w:val="both"/>
        <w:rPr>
          <w:rFonts w:ascii="Times New Roman" w:hAnsi="Times New Roman"/>
          <w:sz w:val="20"/>
        </w:rPr>
      </w:pPr>
      <w:r>
        <w:rPr>
          <w:rFonts w:ascii="Times New Roman" w:hAnsi="Times New Roman"/>
          <w:b/>
          <w:color w:val="000000"/>
          <w:sz w:val="20"/>
        </w:rPr>
        <w:t>The regulatory licensure and approval processes of the FDA and other comparable foreign regulatory authorities are lengthy, time-consuming and inherently unpredictable and, if we are unable to obtain marketing licensure or approval for our product candidate, our business will be substantially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time required to obtain approval or licensure by the FDA and other comparable foreign regulatory authorities is unpredictable but typically takes many years following the commencement of clinical trials and depends upon numerous factors, including the substantial discretion of the regulatory authorities. In addition, approval and licensure policies, regulations or the type and amount of clinical data necessary to gain approval or licensure may change during the course of a product candidate’s clinical development and may vary among jurisdictions. We have not obtained marketing approval or licensure for any product candidate, and it is possible that our existing product candidates, or any product candidate we may seek to develop in the future, will never obtain marketing approval or licensure.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 could fail to receive marketing licensure in the U.S.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disagree with the design or implementation of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to the satisfaction of the FDA that the product candidate is safe, pure, and potent;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clinical trials may not meet the level of statistical significance required by the FDA for licensure;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disagree with our interpretation of data from preclinical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data collected from clinical trials of our product candidate may not be sufficient to support the submission of a BLA to the FDA or other submission or to obtain marketing licensure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find deficiencies with or fail to approve the manufacturing processes or facilities of third party manufacturers with which we contract for clinical and commercial supplies;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licensure policies or regulations of the FDA may significantly change in a manner rendering our clinical data insufficient for licensure.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lengthy licensure process as well as the unpredictability of future clinical trial results may result in our failing to obtain regulatory licensure to market our product candidate, which would significantly harm our business, results of operations, financial condition and prospects. The FDA has substantial discretion in the licensure process and determining when or whether regulatory licensure will be obtained for our product candidate. Even if we believe the preliminary data collected from clinical trials of our product candidate is promising, such preliminary data may not be sufficient to support licensure by the FDA.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even if we were to obtain licensure, regulatory authorities may approve our product candidate for fewer or more limited indications than we request, may grant a license contingent on the performance of costly post-marketing clinical trials, or may approve or license a product candidate with a label that does not include the labeling claims necessary or desirable for the successful commercialization of that product candidate. Any of the foregoing scenarios could materially harm the commercial prospects for our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Even if we receive regulatory licensure of our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product candidate is licensed or approved by regulatory authorities, they will be subject to ongoing regulatory requirements for manufacturing, labeling, packaging, storage, advertising, promotion, sampling, record-keeping, conduct of post-marketing studies, track and trace, serialization, post-market adverse event reporting, and submission of safety, purity, potency, efficacy and other post-market information, including both federal and state requirements in the United States and requirements of comparable foreign regulatory authorities.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Risk Evaluation and Mitigation Strategies (REMS), if not already established in pre-approval, or similar strategy, impose significant restrictions on its indicated uses or marketing, or impose ongoing requirements for potentially costly post approval studies or post-market surveillance.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and comparable foreign regulatory authorities may conduct periodic inspections for compliance with regulatory requirements and standards. Later discovery of previously unknown problems with our product candidate, may result in consequences including,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and warnings on the labeling of a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press coverage and damage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refusal by the FDA and comparable foreign regulatory authorities to approve pending applications or supplements to approved applications filed by us or suspension or revocation of licenses;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any collaborators, must comply with requirements concerning advertising and promotion for our product candidate for which we or they obtain marketing licensure. Promotional communications with respect to prescription biological products are subject to a variety of legal and regulatory restrictions and must be consistent with the information in the product’s approved labeling. Thus, we, and any collaborators, will not be able to promote any products we develop for indications or uses for which the biological product is not licensed.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If we decide to seek additional Breakthrough Therapy Designation and Fast Track Designation, even if granted for our product candidate, may not lead to a faster development, regulatory review or licensure process and do not increase the likelihood that our product candidate will receive marketing licensure.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additional Breakthrough Therapy Designation and other expedited regulatory designations for our product candidate. For example, in February 2025, the FDA granted Fast Track Designation for use of MICVO in the treatment of adult patients with R/M HNSCC whose disease has progressed following treatment with platinum-based chemotherapy and an anti-PD-(L)1 antibody. The FDA may withdraw the Fast Track Designation if the clinical development program no longer meets the criteria for Fast Track Designation. There is no assurance that the FDA will grant these designations to any of our current or future product candidates. A Breakthrough Therapy is defined as a drug that is intended, alone or in combination with one or more other drugs or biological products, to treat a serious or life-threatening disease or condition and for which preliminary clinical evidence indicates that the drug or biological products may demonstrate substantial improvement over existing therapies on one or more clinically significant endpoints, such as substantial treatment effects observed early in clinical development. For product candidates that have been designated as Breakthrough Therapies, increased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 and Priority Review, if they meet regulatory requirements for those other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applications submitted by sponsors of products in Fast Track development may qualify for Priority Review under the policies and procedures offered by the FDA, but the Fast Track Designation does not assure any such qualification. The FDA may withdraw any Fast Track Designation at any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any event, the receipt of a Breakthrough Therapy Designation and/or Fast Track Designation for a product candidate may not result in a faster development process, review or licensure compared to standard review and do not assure ultimate licensure by the FDA. In addition, even if our product candidate qualifies as a Breakthrough Therapy, the FDA may later decide that the product no longer meets the conditions for qualification. Additionally, the FDA may withdraw Fast Track Designation if it believes that the designation is no longer supported by data from our clinical development program. The FDA may withdraw any Fast Track Designation at any time. </w:t>
      </w:r>
    </w:p>
    <w:p>
      <w:pPr>
        <w:pStyle w:val="TextBody"/>
        <w:bidi w:val="0"/>
        <w:spacing w:before="120" w:after="283"/>
        <w:jc w:val="both"/>
        <w:rPr>
          <w:rFonts w:ascii="Times New Roman" w:hAnsi="Times New Roman"/>
          <w:sz w:val="20"/>
        </w:rPr>
      </w:pPr>
      <w:r>
        <w:rPr>
          <w:rFonts w:ascii="Times New Roman" w:hAnsi="Times New Roman"/>
          <w:b/>
          <w:color w:val="000000"/>
          <w:sz w:val="20"/>
        </w:rPr>
        <w:t>If we decide to seek Orphan Drug Designation for any of our current or future product candidates, we may be unsuccessful or may be unable to maintain the benefits associated with Orphan Drug Designation, including the potential for supplemental market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Orphan Drug Designation for one or more of our current or future product candidates. For example, in May 2023, the FDA granted Orphan Drug Designation for MICVO in pancreatic cancer. Regulatory authorities in some jurisdictions, including the U.S.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in the U.S. will be recovered from sales in the U.S. for that drug or biological product. In the U.S.,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product that has Orphan Drug Designation subsequently receives the first FDA approval or licensure for a particular active ingredient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our product candidate receives orphan exclusivity, the FDA can still approve or license other drugs or biological products that have a different active ingredient for use in treating the same indication or disease. Further, the FDA can waive orphan exclusivity if we are unable to manufacture sufficient supply of our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Orphan Drug Designation for our product candidate in additional orphan indications in which there is a medically plausible basis for the use of this product candidate. Even if we obtain Orphan Drug Designation, exclusive marketing rights in the U.S.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would materially adversely affect our business, financial condition, results of operations, cash flows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Accelerated Approval by the FDA, even if granted, may not lead to a faster development or regulatory review or approval process and it does not increase the likelihood that our product candidate will receive marketing licensure. If not granted, we may be required to conduct additional non-clinical and clinical studies and trials beyond those that we currently contemplate. Even if we receive Accelerated Approval, if our confirmatory post-marketing trial does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plan to seek Accelerated Approval of MICVO and may seek approval of future product candidates through the FDA’s Accelerated Approval Program. For any licensure to market a biological product, we must provide the FDA and comparable foreign regulatory authorities with clinical data that adequately demonstrate the safety, purity, and potency of the product for the indication applied for in the NDA or BLA or other respective regulatory filings. The Accelerated Approval Program is one of several approaches used by the FDA to make prescription drugs or biological products more rapidly available for the treatment of serious or life-threatening diseases. Section 506(c) of the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Licensure through the Accelerated Approval Program is subject, however, to the requirement that a sponsor perform adequate and well controlled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biological products provide a clinically meaningful positive therapeutic effect, that is, an effect on how a patient feels, functions, or survives. If required, these confirmatory trials must be underway prior to Accelerated Approval, pursuant to the Food and Drug Omnibus Reform Act of 2022 (FDORA) enacted in 2022 and under FDA’s draft guidance on “Accelerated Approval and Considerations for Determining Whether a Confirmatory Trial is Underway” made available in January 2025. In addition, Section 506(c) of the FDCA provides FDA authority to impose specific conditions on Accelerated Approval, including requiring post-approval study(ies) to verify and describe clinical benefit, and requiring submission of promotional materials during the pre-approval review period and, following approval and for such period thereafter as FDA determines appropriate, at least 30 days prior to dissemination. The statute also requires FDA, by no later than the date of Accelerated Approval, to specify conditions for required post-approval studies, which may include enrollment targets, protocol, and milestones (including a target completion date), and FDA may require such studies to be underway prior to approval or within a specified time period after approval. If such confirmatory post-marketing trials fail to confirm the product’s clinical profile or risks and benefits, or if we fail to conduct any required confirmatory trial with due diligence, or other evidence shows the product is not safe and effective under the conditions of use, the FDA may withdraw Accelerated Approval of the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has broad discretion with regard to licensure through the Accelerated Approval Program and even if we believe that the Accelerated Approval Program is appropriate for one of our products, there is no assurance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The draft guidance, while not finalized, included statements where the FDA acknowledged that historically, single-arm trial designs and response endpoints have most commonly been used in oncology, but noted that such trials have limitations. Furthermore, even if we do obtain licensure through the Accelerated Approval Program, we may not experience a faster development process, review, or licensure compared to conventional FDA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the FDA reviews a BLA seeking Accelerated Approval, there can be no assurance that licensure will be granted on a timely basis, or at all. The FDA may disagree that the design of, or results from, our studies supporting Accelerated Approval. Additionally, the FDA could require us to conduct further studies or trials prior to granting licensure of any type, including by determining that licensure through the Accelerated Approval Program is not appropriate and that our clinical trials may not be used to support licensure through the conventional pathway. We might not be able to fulfill the FDA’s requirements in a timely manner, which would cause delays, or licensure might not be granted because our submission is deemed incomplete by the FDA. There also can be no assurance that after subsequent FDA feedback we will continue to pursue licensure through the Accelerated Approval Program. A failure to obtain licensure through the Accelerated Approval Program could result in a longer time period to obtain licensure of our products, could increase the cost of our products’ development, could delay our ability to commercialize our products and could significantly harm our financial position and competitive position in the marketplace.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receive licensure for one of our products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These requirements could adversely impact the timing of the commercial launch of the product. Even if we do receive Accelerated Approval, we may not experience a faster development or regulatory review or licensure process. Further, receiving Accelerated Approval does not provide assurance of ultimate full FDA licensure.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FDA could seek to withdraw Accelerated Approval for multiple reasons, including if we fail to conduct any required confirmatory post-marketing trial with due diligence, our confirmatory post-marketing trial does not confirm the predicted clinical benefit, other evidence shows that the product is not safe, pure, or potent under the conditions of use, or we disseminate promotional materials that are found by the FDA to be false and misleading. Further description of the expedited withdrawal process was released by the FDA in the recent draft guidance </w:t>
      </w:r>
      <w:r>
        <w:rPr>
          <w:rFonts w:ascii="Times New Roman" w:hAnsi="Times New Roman"/>
          <w:i/>
          <w:color w:val="000000"/>
          <w:sz w:val="20"/>
        </w:rPr>
        <w:t>Expedited Program for Serious Conditions – Accelerated Approval of Drugs and Biologics</w:t>
      </w:r>
      <w:r>
        <w:rPr>
          <w:rFonts w:ascii="Times New Roman" w:hAnsi="Times New Roman"/>
          <w:color w:val="000000"/>
          <w:sz w:val="20"/>
        </w:rPr>
        <w:t xml:space="preserve"> (December 2024).</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 approval studies for products that receive Accelerated Approval, which may include enrollment targets and milestones, including the target date for study completion, by the time the drug is approved. The FDA may also require post approval studies to be underway at the time of Accelerated Approval or within a specified time period following Accelerated Approval for such drugs, and must explain any instances where it does not require such studies. FDA’s January 2025 draft guidance on </w:t>
      </w:r>
      <w:r>
        <w:rPr>
          <w:rFonts w:ascii="Times New Roman" w:hAnsi="Times New Roman"/>
          <w:i/>
          <w:color w:val="000000"/>
          <w:sz w:val="20"/>
        </w:rPr>
        <w:t>Accelerated Approval and Considerations for Determining Whether a Confirmatory Trial is Underway</w:t>
      </w:r>
      <w:r>
        <w:rPr>
          <w:rFonts w:ascii="Times New Roman" w:hAnsi="Times New Roman"/>
          <w:color w:val="000000"/>
          <w:sz w:val="20"/>
        </w:rPr>
        <w:t>, while not finalized, suggests that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 approval conduct of the trial provide sufficient assurance to expect timely completion of the trial, and (3) enrollment of the confirmatory trial has been initiated.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obtaining, or inability to obtain, licensure through the Accelerated Approval Program, or any issues in maintaining approval granted under the Accelerated Approval Program, would delay or prevent commercialization of our products, and would materially adversely affect our business, financial condition, results of operations, cash flows and prospects.</w:t>
      </w:r>
    </w:p>
    <w:p>
      <w:pPr>
        <w:pStyle w:val="TextBody"/>
        <w:bidi w:val="0"/>
        <w:spacing w:before="120" w:after="283"/>
        <w:jc w:val="both"/>
        <w:rPr>
          <w:rFonts w:ascii="Times New Roman" w:hAnsi="Times New Roman"/>
          <w:sz w:val="20"/>
        </w:rPr>
      </w:pPr>
      <w:r>
        <w:rPr>
          <w:rFonts w:ascii="Times New Roman" w:hAnsi="Times New Roman"/>
          <w:b/>
          <w:color w:val="000000"/>
          <w:sz w:val="20"/>
        </w:rPr>
        <w:t>If foreign regulatory authorities approve biosimilar versions of our product candidate that receive marketing approval, or such authorities do not grant our product candidate appropriate periods of data or market exclusivity before approving generic versions of our product candidate, the sales of our product candidate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EU and the UK, innovative medicinal products are authorized based on a full marketing authorization application and conditional authorization (as opposed to an application for marketing authorization that relies on data in the marketing authorization dossier for another, previously approved medicinal product). Applications for marketing authorization for innovative medicinal products must contain, </w:t>
      </w:r>
      <w:r>
        <w:rPr>
          <w:rFonts w:ascii="Times New Roman" w:hAnsi="Times New Roman"/>
          <w:i/>
          <w:color w:val="000000"/>
          <w:sz w:val="20"/>
        </w:rPr>
        <w:t>inter alia</w:t>
      </w:r>
      <w:r>
        <w:rPr>
          <w:rFonts w:ascii="Times New Roman" w:hAnsi="Times New Roman"/>
          <w:color w:val="000000"/>
          <w:sz w:val="20"/>
        </w:rPr>
        <w:t>, the results of pharmaceutical tests, preclinical tests and clinical trials conducted with the medicinal product for which marketing authorization is sought.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marketing authorization can be obtained via the centralized procedure or the national procedure. The centralized procedure results in a single marketing authorization, issued by the European Commission (based on the opinion of the EMA), which is valid across the entire European Economic Area (EEA) which comprises the EU, Iceland, Liechtenstein and Norway. The centralized procedure is compulsory for human drugs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designated orphan medicines; and (iv) advanced-therapy medicines, such as gene therapy, somatic cell therapy or tissue-engineered medicines. The centralized procedure may at the request of the applicant also be used in certain other cases. The centralized procedure would be mandatory for the product candidate we are developing.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an applicant for a marketing authorization submits a full dossier containing its own pharmaceutical, preclinical tests and clinical trials data, and where the application does not fall within the ‘global marketing authorization’ of an existing medicinal product, reference product candidates may receive eight years of data exclusivity and an additional two years of market exclusivity, upon grant of the marketing authorization. If granted, during the data exclusivity period, applicants for approval of biosimilars cannot rely on data contained in the marketing authorization dossier submitted for the already authorized, or reference product candidate, to support their application. The market exclusivity period prevents a successful biosimilar applicant from commercializing its product in the EU until 10 years have elapsed from the initial marketing authorization of the reference product in the EU, but a biosimilar marketing authorization application can be submitted during this time. The overall 10-year market exclusivity period can further be extended by one more year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data and market exclusivity, provided that no other intellectual property or regulatory exclusivities apply,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 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testing or clinical trials must be provided, and guidelines from the EMA detail the type of quantity of supplementary data to be provided for different types of biological products. There are currently no such guidelines for complex biological products such as gene or cell therapy medicinal products, and so in the short term it is unlikely that biosimilars of those products will be approved in the EU. However, guidance from the EMA states that they will be considered in the future in light of the scientific knowledge and regulatory experience gained at the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 the criteria for designating an “orphan medicinal product”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marketing authorization application. Orphan Drug Designations entitle a party to financial incentives such as reduction of fees or fee waivers and are, upon grant of a marketing authorization, entitled to 10 years of market exclusivity. During the 10-year market exclusivity period, the EMA cannot accept another marketing authorization application, or grant a marketing authorization or accept an application to extend an existing marketing authorization, for the same therapeutic indication, in respect of a similar medicinal product. Orphan Drug Designation does not convey any advantage in, or shorten the duration of, the regulatory review and approval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ten-year market exclusivity may be reduced to six years if, at the end of the fifth year, it is established that the product no longer meets the criteria for Orphan Drug Designation, for example, if the product is sufficiently profitable not to justify maintenance of market exclusivity. At any time, a marketing authorization may be granted to a similar product for the same indication if: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second applicant can establish that its product, although similar, is safer, more effective or otherwise clinically superior;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 of the marketing authorization for the original orphan medicinal product has given his consent to the second applicant; 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 of the marketing authorization for the original orphan medicinal product is unable to supply sufficient quantities of the medicinal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the UK has left the EU, its regulatory legal framework provides for similar periods of protection (namely regulatory data exclusivity, marketing protection and market exclusivity).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that our product candidate may face from biosimilar versions of our product candidate could materially and adversely impact our future revenue, profitability and cash flows and substantially limit our ability to obtain a return on the investments we have made in the product candidate. Our future revenues, profitability and cash flows could also be materially and adversely affected and our ability to obtain a return on the investments we have made in this product candidate may be substantially limited if our product candidate, if and when approved, are not afforded the appropriate period of non-patent exclusivity. </w:t>
      </w:r>
    </w:p>
    <w:p>
      <w:pPr>
        <w:pStyle w:val="TextBody"/>
        <w:bidi w:val="0"/>
        <w:spacing w:before="120" w:after="283"/>
        <w:jc w:val="both"/>
        <w:rPr>
          <w:rFonts w:ascii="Times New Roman" w:hAnsi="Times New Roman"/>
          <w:sz w:val="20"/>
        </w:rPr>
      </w:pPr>
      <w:r>
        <w:rPr>
          <w:rFonts w:ascii="Times New Roman" w:hAnsi="Times New Roman"/>
          <w:b/>
          <w:color w:val="000000"/>
          <w:sz w:val="20"/>
        </w:rPr>
        <w:t>Our failure to obtain regulatory approval in international jurisdictions would prevent us from marketing our product candidate outside the U.S. and the sales of our product candidate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and sell our product candidate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In addition, in many countries outside the U.S.,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 in certain countries. Further, clinical trials conducted in one country may not be accepted by regulatory authorities in other countries and regulatory approval in one country does not ensure approval in any other country. Our failure to obtain approval of our product candidate by foreign regulatory authorities may negatively impact the commercial prospects of such product candidate and our business prospects could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The failure to obtain required regulatory clearances or approvals for any companion diagnostic tests that we may pursue may prevent or delay approval of our product candidate. Moreover, the commercial success of a product candidate that requires a companion diagnostic will be tied to the receipt of any required regulatory clearances or approvals and the continued availability of such tests.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to identify patient subsets within a disease category that may derive selective and meaningful benefit from the product candidate we are developing. Through collaborations or license agreements, companion diagnostics may help us to more accurately identify patients within a particular subset, both during our clinical trials and in connection with the commercialization of our product candidate, if approved. In connection with the clinical development of our product candidate for certain indications, we may work with collaborators to develop or obtain access to companion diagnostic tests to identify appropriate patients for our product candidate. We may rely on third parties for the development, testing and manufacturing of these companion diagnostics, the application for and receipt of any required regulatory clearances or approvals, and the commercial supply of these companion diagnostics. Companion diagnostics are subject to regulation by the FDA and comparable foreign regulatory authorities as a medical device and may require separate regulatory authorization prior to commercialization. The FDA and foreign regulatory authorities regulate companion diagnostics as medical devices that will likely be subject to clinical trials in conjunction with the clinical trials for a product candidate, and which will require separate regulatory clearance or approval prior to commercialization. This process could include additional meetings with health authorities, such as a pre-submission meeting and the requirement to submit an investigational device exemption (IDE). In the case of a companion diagnostic that is designated as “significant risk device,” approval of an IDE by the FDA and an IRB is required before such diagnostic is used in conjunction with the clinical trials for a corresponding product candidate. We or our third party collaborators may fail to obtain the required regulatory clearances or approvals, which could prevent or delay approval of our product candidate. In addition, the commercial success of our product candidate that requires a companion diagnostic will be tied to and dependent upon the receipt of required regulatory clearances or approvals and the continued ability of such third parties to make the companion diagnostic commercially available to us on reasonable terms in the relevant geographies. </w:t>
      </w:r>
    </w:p>
    <w:p>
      <w:pPr>
        <w:pStyle w:val="TextBody"/>
        <w:bidi w:val="0"/>
        <w:spacing w:before="120" w:after="283"/>
        <w:jc w:val="both"/>
        <w:rPr>
          <w:rFonts w:ascii="Times New Roman" w:hAnsi="Times New Roman"/>
          <w:sz w:val="20"/>
        </w:rPr>
      </w:pPr>
      <w:r>
        <w:rPr>
          <w:rFonts w:ascii="Times New Roman" w:hAnsi="Times New Roman"/>
          <w:b/>
          <w:color w:val="000000"/>
          <w:sz w:val="20"/>
        </w:rPr>
        <w:t>Our relationships with customers, physicians and third party payors are subject, directly or indirectly, to federal and state healthcare fraud and abuse laws, false claims laws, and other healthcare laws and regulations. If we are unable to comply or have not fully complied with these laws,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Healthcare providers, physicians and third party payors in the U.S. and elsewhere will play a primary role in the recommendation and prescription of any product candidate for which we obtain marketing licensure. Our current and future arrangements with healthcare professionals, principal investigators, consultants, customers, drug wholesalers/distributors, pharmacy benefit managers, and third party payors subject us to various federal and state fraud and abuse laws and other healthcare laws that may constrain the business or financial arrangements and relationships through which we research, develop, sell, market and distribute our product candidate, if we obtain marketing licensure. In particular, the research of our product candidate,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business arrangements with third parties comply with applicable healthcare laws and regulations will likely be costly.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and/or the curtailment or restructuring of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physicians or other providers or entities with whom we expect to do business are found not to be in compliance with applicable laws, they may be subject to significant criminal, civil or administrative sanctions, including exclusion from government-funded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Even if we commercialize our product candidate, it or any other product candidate that we develop, may become subject to unfavorable pricing regulations or third party coverage or reimbursement practices,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products for which we may obtain regulatory licensure. Our ability to successfully commercialize our product candidate will depend, in part, on the extent to which coverage and adequate reimbursement for any products for which we obtain marketing authorization will be available from third party payors, including government health care programs, managed care providers, private health insurers, health maintenance organizations and other organizations. In the U.S., no uniform policy for coverage and reimbursement for pharmaceutical products exists among third party payors. Third party payors decide which medications they will pay for and establish reimbursement levels; therefore, coverage and reimbursement for our product candidate for which we may obtain marketing authorization could differ significantly from payor to payor. One payor’s determination to provide coverage for a product does not assure that other payors will also provide coverage and reimbursement for the product. Payors consider a number of factors when determining whether to cover a new product, including, for example, whether the product is a covered benefit under its health plan; safe, effective and medically necessary; appropriate for the specific patient; cost-effective; and neither experimental nor investigational. Third party payors may also limit coverage to specific products on an approved list, or formulary, which might not include all of the FDA-approved products for a particular indication if they are granted Accelerated Approval. Failure to obtain or maintain coverage and adequate reimbursement for our product candidate, if approved, could limit our ability to market the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a payor’s decision to provide coverage for a product does not imply that an adequate reimbursement rate will be approved. The process for determining whether a payor will provide coverage for a product may be separate from the process for setting the reimbursement rate that the payor will pay for the product. Even if coverage is provided, the approved reimbursement amount may not be high enough to allow us to establish or maintain pricing sufficient to realize a sufficient return on our investment.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 that we develop. For products administered under the supervision of a physician, obtaining coverage and adequate reimbursement may be particularly difficult because of the higher prices often associated with such drugs. Additionally, separate reimbursement for the product itself may or may not be available. Instead, the hospital or administering physician may be reimbursed only for providing the treatment or procedure in which our product is used.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increasing efforts by third party payors in the U.S. and abroad to cap or reduce healthcare costs may cause payor organizations to limit both coverage and the level of reimbursement for newly approved products and, as a result, they may not cover or provide adequate payment for our product candidate.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marketing authorizations or approvals. Additionally, we may also need to provide permissible discounts to purchasers, private health plans or government healthcare programs. Our product candidate may nonetheless not be considered medically necessary or cost-effective. If third party payors do not consider a product to be cost-effective compared to other available therapies, they may not cover the product after marketing authorization or approval as a benefit under their plans or, if they do, the level of payment may not be sufficient to allow a company to sell its products at a profit. We expect to experience pricing pressures from third party payors in connection with the potential sale of our product candidate.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In some countries, the pricing for a drug must be approved before the drug may be marketed. In many countries, the pricing review period begins after marketing or product licensing approval is granted. There can be no assurance that any country will allow reimbursement and pricing arrangements for our product candidate that are sufficient to recoup our investment. </w:t>
      </w:r>
    </w:p>
    <w:p>
      <w:pPr>
        <w:pStyle w:val="TextBody"/>
        <w:bidi w:val="0"/>
        <w:spacing w:before="120" w:after="283"/>
        <w:jc w:val="both"/>
        <w:rPr>
          <w:rFonts w:ascii="Times New Roman" w:hAnsi="Times New Roman"/>
          <w:sz w:val="20"/>
        </w:rPr>
      </w:pPr>
      <w:r>
        <w:rPr>
          <w:rFonts w:ascii="Times New Roman" w:hAnsi="Times New Roman"/>
          <w:b/>
          <w:color w:val="000000"/>
          <w:sz w:val="20"/>
        </w:rPr>
        <w:t>Enacted and future healthcare legislation may increase the difficulty and cost for us to progress our clinical programs and obtain marketing licensure or approval of and commercialize our product candidate and may affect the prices we may set.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U.S. and other jurisdictions, there have been, and we expect there will continue to be, a number of legislative and regulatory changes and proposed changes to the healthcare system that could affect results of our future operations. In particular, there have been and continue to be a number of initiatives at the U.S. federal and state levels that seek to reduce healthcare costs and improve the quality of healthcare. For example,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It is unclear how future regulatory actions to implement the IRA, as well as the outcome of pending litigation against the IRA, may affect our products and future profitability. The Medicare Part D Premium Stabilization Demonstration will also sunset at the end of the 2026 plan year and return the program to "traditional market conditions" in 2027. See Part I, Item 1, Government Regulation – Healthcare and Data Privacy Regulation – Healthcare Reform of the Annual Report on Form 10-K (Fiscal 2025 10-K) for additional detail on recent healthcare reform efforts that could affect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extent to which state and federal governments cover particular healthcare products and services and could limit the amounts that federal and state governments will pay for healthcare items and services. This could result in reduced demand for any product candidate we develop or could result in additional pricing pressures.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markets outside of the U.S., reimbursement and healthcare payment systems vary significantly by country and many countries have instituted price ceilings on specific products and therapies. The price control regulations outside of the U.S. can have a significant impact on the profitability of a given market, and further uncertainty is introduced if and when these laws change.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U.S. or any other jurisdiction. If we, or any third parties we may engage, are slow or unable to adapt to changes in existing requirements or the adoption of new requirements or policies, or if we, or these third parties, are not able to maintain regulatory compliance, our product candidate may lose any regulatory licensure or approval that may have been obtained and we may not achieve or sustain profitability.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operations are subject to trade controls, sanctions and anti-corruption laws, and noncompliance could result in significant penalties and operational disruption.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third parties and vendors and may conduct activities across multiple jurisdictions. As a result, our operations may be subject to import and export controls, economic sanctions, customs requirements, and anti-corruption and anti-bribery laws administered by the United States and foreign authorities. These regulatory regimes are complex, change frequently, and may be subject to differing interpretations.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or alleged failure, by us or by third parties acting on our behalf to comply with these requirements could result in investigations, civil or criminal penalties, fines, loss of export privileges, contract termination, reputational harm, or increased compliance costs. Even allegations of noncompliance could divert management attention and materially adversely affect our business,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biopharmaceutical industry is subject to extensive regulatory obligations and policies that may be subject to significant and abrupt change, including due to judicial challenges, election cycles, and resulting regulatory updates and changes in policy priorities.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Department of Health and Human Services (HHS), CMS,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federal agency priorities, leadership, policies, rulemaking, communications, spending, and staffing may be significantly impacted by election cycles and legislative developments. For example, changes in federal government spending priorities, agency staffing levels, appropriations, workforce reductions, regulatory priorities, administrative actions or other policy initiatives affecting HHS, FDA, CMS or other governmental agencies could alter how such agencies conduct reviews, inspections, guidance development, rulemaking and other regulatory activities. The administration and agencies have also made abrupt announcements about new or changed regulatory policies, such as policies related to the use of artificial intelligence to review product applications and IND initiatives from HHS's Operation Trailblazer to keep the U.S. competitive. And, future federal government shutdowns may prevent the FDA or other regulatory authorities from conducting their regular inspections, reviews or other regulatory activities, and may significantly impact the ability of the FDA to timely review and process our regulatory submissions. Regulatory uncertainty or changes in FDA policy priorities could also result in modified evidentiary requirements, additional requests for information, delays in regulatory interactions, or changes to development expectations that may increase the cost and complexity of advancing MICVO and any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resulting changes in regulation may result in unexpected delays, increased costs, or other negative impacts on our business that are difficult to predict.</w:t>
      </w:r>
    </w:p>
    <w:p>
      <w:pPr>
        <w:pStyle w:val="TextBody"/>
        <w:bidi w:val="0"/>
        <w:spacing w:before="120" w:after="283"/>
        <w:jc w:val="both"/>
        <w:rPr>
          <w:rFonts w:ascii="Times New Roman" w:hAnsi="Times New Roman"/>
          <w:sz w:val="20"/>
        </w:rPr>
      </w:pPr>
      <w:r>
        <w:rPr>
          <w:rFonts w:ascii="Times New Roman" w:hAnsi="Times New Roman"/>
          <w:b/>
          <w:color w:val="000000"/>
          <w:sz w:val="20"/>
        </w:rPr>
        <w:t>Actual or perceived failures to comply with applicable data protection, privacy and security laws, regulations, standards and other requirements could adversely affect our business, operations,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 party data, business plans, transactions, clinical trial data and financial information or collectively, sensitive data.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Most healthcare providers, including certain research institutions from which we may obtain patient health information, are subject to privacy and security regulations promulgated under the Health Insurance Portability and Accountability Act of 1996 (HIPAA), as amended by the Health Information Technology for Economic and Clinical Health Act (HITECH). We are not currently acting as a covered entity (health plans, health care clearinghouses and certain health care providers) or business associate (individuals or entities that create, receive, maintain or transmit individually identifiable health information in connection with providing a service for or on behalf of a covered entity, as well as their covered subcontractors) under HIPAA and therefore are not directly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disclosed individually identifiable health information in a manner that is not authorized or permitted under HIPAA. In addition, in the future, we may maintain sensitive personal information, including health-related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data privacy and security laws protection such information, including state laws requiring notification of affected individuals and state regulators in the event of a breach of personal information, which is a broader class of information than the health information protected by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few years, numerous U.S. states have enacted health-specific or comprehensive privacy laws that impose certain obligations on covered businesses, including providing specific disclosures in privacy notices and affording residents with certain rights concerning their personal data. For example, Washington’s My Health My Data Act regulates consumer health data, which includes personal information identifies a consumer’s past, present, or future physical or mental health. However, the My Health My Data Act provides exemptions for personal data used or shared in research, including data subject to 45 C.F.R. Parts 46, 50, and 56. Another example, the California Consumer Privacy Act of 2018 (CCPA), as amended by the California Privacy Rights Act of 2020 (CPRA), collectively CCPA, creates individual data privacy rights for consumers and operational requirements for companies, including placing increased privacy and security obligations on entities handling certain personal information of consumers or households; imposes additional data protection obligations on covered businesses, including additional consumer rights processes; limitations on data uses; new audit requirements for higher risk data; and opt outs for certain uses of sensitive data.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private right of action for data breaches, and created a new California data protection agency authorized to issue substantive regulations and could result in increased privacy and information security enforcement and litigation. Similar laws have been adopted or proposed in other states and at the federal level, and if passed, such laws may have potentially conflicting requirements that would make compliance challenging. While these laws generally include exemptions for health-related data such as clinical trial data, they add layers of complexity to compliance in the U.S. market and could increase our compliance costs and adversely affect our business. In the event we are subject to or affected by HIPAA, the CCPA, or other privacy and data protection laws, any liability from failure to comply with the requirements of these laws could adversely affect our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The FTC has also been active with respect to enforcement of its Health Breach Notification Rule and in scrutinizing the use and disclosure of sensitive personal information. The FTC finalized changes to the Health Breach Notification Rule in April 2024.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Outside the U.S., an increasing number of laws, regulations, and industry standards govern data privacy and security. For example, the European Union General Data Protection Regulation (EU GDPR) and the United Kingdom’s GDPR (UK GDPR), collectively GDPR, impose strict requirements for the processing of personal data. The GDPR imposes a number of compliance obligations including accountability and transparency requirements, requirements to process personal data lawfully, obligations to consider data protection as any new products or services are developed and designed, obligations to implement appropriate technical and organizational security measures to safeguard personal data and to report certain personal data breaches, obligations to comply with data protection rights of data subjects and additional requirements around the processing of special categories of personal data, including health and genetic data. The GDPR have restrictions on transfers of personal data from their jurisdiction to other jurisdictions. Companies may be subject to robust regulatory enforcement of data protection requirements and potential fines for noncompliance of up to €20 million (under the EU GDPR) or £17.5 million (under the UK GDPR) or up to 4% of the annual global turnover of the preceding year for the noncompliant company, whichever is greater.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 We also rely on third-party service providers, contract research organizations, cloud-based technology providers and other vendors to process, store and transmit sensitive data on our behalf. Any actual or perceived failure by such third parties to adequately safeguard sensitive data, comply with applicable privacy and security requirements, or prevent unauthorized access, disclosure, loss or misuse of data could expose us to regulatory investigations, litigation, contractual liability, reputational harm, business interruption and increased compliance costs. </w:t>
      </w:r>
    </w:p>
    <w:p>
      <w:pPr>
        <w:pStyle w:val="TextBody"/>
        <w:bidi w:val="0"/>
        <w:spacing w:before="120" w:after="283"/>
        <w:jc w:val="both"/>
        <w:rPr>
          <w:rFonts w:ascii="Times New Roman" w:hAnsi="Times New Roman"/>
          <w:sz w:val="20"/>
        </w:rPr>
      </w:pPr>
      <w:r>
        <w:rPr>
          <w:rFonts w:ascii="Times New Roman" w:hAnsi="Times New Roman"/>
          <w:b/>
          <w:color w:val="000000"/>
          <w:sz w:val="20"/>
        </w:rPr>
        <w:t>If we or our third party manufacturers and suppliers fail to comply with environmental, health and safety laws and regulations, we could become subject to fines or penalties or incur costs that could have an adverse effect on the success of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cannot eliminate the risk of contamination or injury from these materials, which could cause an interruption of our commercialization efforts, research and development efforts and business operations, environmental damage resulting in costly clean-up and/or liabilities under applicable laws and regulations. We generally contract with third parties for the disposal of these materials and wastes and cannot eliminate the risk of accidental contamination or injury. Upon an event of this nature, we may be held liable for any resulting damages and such liability could exceed our resources and federal, state or other applicable authorities may curtail our use of certain materials and/or interrupt our business operations. Environmental laws and regulations are complex, change frequently and have tended to become more stringent and we may incur substantial costs to comply. Current or future laws and regulations may impair our research, development or production efforts. Failure to comply with these laws and regulations may result in substantial fines, penalties or other sanctions.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pStyle w:val="TextBody"/>
        <w:bidi w:val="0"/>
        <w:spacing w:before="120" w:after="283"/>
        <w:jc w:val="both"/>
        <w:rPr>
          <w:rFonts w:ascii="Times New Roman" w:hAnsi="Times New Roman"/>
          <w:sz w:val="20"/>
        </w:rPr>
      </w:pPr>
      <w:r>
        <w:rPr>
          <w:rFonts w:ascii="Times New Roman" w:hAnsi="Times New Roman"/>
          <w:b/>
          <w:color w:val="000000"/>
          <w:sz w:val="20"/>
        </w:rPr>
        <w:t>We are subject to U.S. and certain foreign export and import controls, anti-corruption laws and anti-money laundering laws and regulations.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various federal, state, and foreign government export and import laws and regulations, anti-bribery and anti-money laundering laws in the U.S. and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both"/>
        <w:rPr>
          <w:rFonts w:ascii="Times New Roman" w:hAnsi="Times New Roman"/>
          <w:sz w:val="20"/>
        </w:rPr>
      </w:pPr>
      <w:r>
        <w:rPr>
          <w:rFonts w:ascii="Times New Roman" w:hAnsi="Times New Roman"/>
          <w:b/>
          <w:color w:val="000000"/>
          <w:sz w:val="20"/>
        </w:rPr>
        <w:t>If we fail to attract and retain qualified senior management and key scientific and medical personnel, our business may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We are highly dependent upon members of our senior management, including Thomas Civik, currently serving as Interim Chief Executive Officer of the Company, Jitendra Wadhane, who serves as Principal Financial and Accounting Officer, as well as our senior scientists, senior medical personnel and other members of our senior management team. The loss of one or more of our executive officers, senior scientists, senior medical personnel and other members of our senior management team could delay or prevent the successful development of our product pipeline, the initiation and completion of our clinical trials or the commercialization of our product candidate or any future product candidate.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for qualified personnel in the pharmaceutical, biopharmaceutical and biotechnology field is intense due to the limited number of individuals who possess the skills and experience required by our industry. We may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employees, consultants and collaborators may engage in misconduct or other improper activities, including insider trading and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U.S. regulators and non-U.S. regulators, including those laws requiring the reporting of true, complete and accurate information to such regulators.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code of conduct applicable to all of our employees, officers, directors, including consultants, but it is not always possible to identify and deter misconduct by our employees, officers, directors,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contractual damages, reputational harm,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120" w:after="283"/>
        <w:jc w:val="both"/>
        <w:rPr>
          <w:rFonts w:ascii="Times New Roman" w:hAnsi="Times New Roman"/>
          <w:sz w:val="20"/>
        </w:rPr>
      </w:pPr>
      <w:r>
        <w:rPr>
          <w:rFonts w:ascii="Times New Roman" w:hAnsi="Times New Roman"/>
          <w:b/>
          <w:color w:val="000000"/>
          <w:sz w:val="20"/>
        </w:rPr>
        <w:t>We currently have no marketing, sales, or distribution infrastructure and both establishing this infrastructure or outsourcing this function to a third party carries substantial risks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have no marketing, sales, or distribution capabilities because our product candidate is still in clinical development. If our product candidate completes clinical development and is approved, we intend to either establish a sales and marketing organization with technical expertise and supporting distribution capabilities to commercialize our product candidate in a legally compliant manner, or to outsource this function to a third party. There are risks involved if we decide to establish our own sales and marketing capabilities or enter into arrangements with third parties to perform these services. To the extent that we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our collaborator’s willingness or ability to complete its obligations, and our obligations under our arrangements may be adversely affected by business combinations or significant changes in our collaborators’ business strategy.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 which would have a material adverse effect on our business, financial condition, and results of operations. </w:t>
      </w:r>
    </w:p>
    <w:p>
      <w:pPr>
        <w:pStyle w:val="TextBody"/>
        <w:bidi w:val="0"/>
        <w:spacing w:before="120" w:after="283"/>
        <w:jc w:val="both"/>
        <w:rPr>
          <w:rFonts w:ascii="Times New Roman" w:hAnsi="Times New Roman"/>
          <w:sz w:val="20"/>
        </w:rPr>
      </w:pPr>
      <w:r>
        <w:rPr>
          <w:rFonts w:ascii="Times New Roman" w:hAnsi="Times New Roman"/>
          <w:b/>
          <w:color w:val="000000"/>
          <w:sz w:val="20"/>
        </w:rPr>
        <w:t>Our information technology systems, or those of any of our existing or future CROs, manufacturers, other contractors, consultants, or collaborators, may be compromised, which could result in additional costs, significant liabilities, harm to our reputation and material disruption of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our business, we collect, process, and store proprietary, confidential, and sensitive information, including personal information (including health information), intellectual property, trade secrets, and proprietary business information owned or controlled by ourselves or other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Despite the implementation of security measures, our information technology systems and infrastructure, and those of our current and any future CROs, manufacturers, other contractors, consultants, existing or future collaborators and other third party service providers are vulnerable to damage from various methods, including cybersecurity attacks, breaches, errors, malfeasance, or other technological failures, which can include, among other things, computer viruses, unauthorized access attempts, including third parties gaining access to systems using stolen or inferred credentials, ransomware attacks,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We increasingly rely on third-party hosted and cloud-based technologies and service providers to support our operations, and any disruption, compromise or failure of such systems or providers could adversely affect our ability to conduct clinical development activities, protect sensitive information and maintain business continuity.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effects on our business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such an event were to occur and cause interruptions in our operations, it could result in a material disruption of our product candidate development program and our business operations including without limitation, disruptions of our drug development programs, delays in our regulatory approval efforts, regulatory investigations or enforcement actions, litigation, indemnity obligations, negative publicity, and financial loss and significant liabilities. In addition, system failures could cause the loss, theft, exposure, or unauthorized access or use of valuable clinical trial data as a result of accidents, errors or malfeasance by our employees, independent contractors or others working with us or on our behalf or otherwise disrupt our clinical activities and be expensive and time-consuming to remedy. Some of the federal, state and foreign government legal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 could result in delays in our regulatory licensure efforts and significantly increase our costs to recover or reproduce the lost data. Any breach of our computer systems may result in a loss of data or compromised data integrity across many of our programs in various stages of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expend resources; modify our business activities and practices; or modify our operations, including our development program activities; or information technology in an effort to comply with applicable data protection laws, privacy policies and data protection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 could be delayed and we could be subject to significant fines or penalties for any noncompliance with certain state, federal or international privacy and security 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may not cover all claims made against us and could have high deductibles. Defending a suit, regardless of its merit, could be costly and divert management attention. In addition, such insurance may not be available to us in the future on economically reasonable terms, or at all.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use of emerging technologies, including artificial intelligence, may introduce operational, legal and reputational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third-party vendors may use emerging technologies, including artificial intelligence and machine-learning tools, in connection with research, data analysis, clinical operations or other business processes. These technologies may produce inaccurate, incomplete or misleading outputs, and errors may not be readily detectable. Their use may also raise novel issues relating to data privacy, intellectual property ownership, regulatory compliance and evolving industry standards.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legal and regulatory framework governing these technologies is rapidly evolving. If we fail to appropriately govern their use, or if regulators impose new restrictions or requirements, we could experience delays, increased costs, regulatory scrutiny, litigation exposure or reputational harm, any of which could materially adversely affect our business,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business is subject to economic, political, regulatory and other risks associated with conducting business internationally.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regulatory approval or licensure of our product candidate outside of the United States. Accordingly, we expect that we will be subject to additional risks related to operating in foreign countries if we obtain the necessary approvals or licenses,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differing regulatory requirements and reimbursement regimes in foreign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unexpected changes in tariffs, trade barriers, price and exchange controls and other regulatory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contractual and intellectual property rights to the same extent as the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 The U.S. government has recently imposed, or is currently considering imposing, tariffs on certain trade partners, including China. 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Such changes have the potential to adversely impact the U.S. economy or certain sectors thereof, the global economy, and our industry, and as a result, could have a material adverse effect on our business,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research and development activities involve hazardous materials, and noncompliance with environmental, health and safety laws could result in significant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those of our third-party vendors, may involve the use, storage, transportation and disposal of biological materials, chemicals and other hazardous substances. These activities are subject to extensive environmental, health and safety laws and regulations. Accidental contamination, spills, exposures or other incidents could occur. Such activities may occur at our facilities or those of third-party contract research organizations, manufacturers and other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such events occur, we could incur significant costs for investigation, remediation, fines or penalties, third-party claims and reputational harm. In addition, any material failure to comply with applicable environmental, health and safety requirements could disrupt our operations or delay development activities, which could materially adversely affect our business and prospects. </w:t>
      </w:r>
    </w:p>
    <w:p>
      <w:pPr>
        <w:pStyle w:val="TextBody"/>
        <w:bidi w:val="0"/>
        <w:spacing w:before="120" w:after="283"/>
        <w:jc w:val="both"/>
        <w:rPr>
          <w:rFonts w:ascii="Times New Roman" w:hAnsi="Times New Roman"/>
          <w:sz w:val="20"/>
        </w:rPr>
      </w:pPr>
      <w:r>
        <w:rPr>
          <w:rFonts w:ascii="Times New Roman" w:hAnsi="Times New Roman"/>
          <w:b/>
          <w:color w:val="000000"/>
          <w:sz w:val="20"/>
        </w:rPr>
        <w:t>Disruptions at the FDA, the SEC and other government agencies could hinder their ability to perform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funding,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For example, government shutdowns, funding lapses and other disruptions to federal agency operations have occurred in the past and may occur again in the future, resulting in furloughs of government employees, delays in agency activities and interruptions to regulatory processes. In October 2025, the FDA announced a lapse in federal funding and implemented shutdown procedures that affected certain agency operations If a prolonged government shutdown were to occur,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both"/>
        <w:rPr>
          <w:rFonts w:ascii="Times New Roman" w:hAnsi="Times New Roman"/>
          <w:sz w:val="20"/>
        </w:rPr>
      </w:pPr>
      <w:r>
        <w:rPr>
          <w:rFonts w:ascii="Times New Roman" w:hAnsi="Times New Roman"/>
          <w:b/>
          <w:color w:val="000000"/>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party to license agreements with Pfizer, Biosion, and the University of Chicago, pursuant to which we in-license patents and technology for certain of our product candidates, pursuant to which we may license patents and technology for future product candidates. Our current license agreements and our collaboration agreement impose, and any future license agreements or collaboration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120" w:after="283"/>
        <w:jc w:val="both"/>
        <w:rPr>
          <w:rFonts w:ascii="Times New Roman" w:hAnsi="Times New Roman"/>
          <w:sz w:val="20"/>
        </w:rPr>
      </w:pPr>
      <w:r>
        <w:rPr>
          <w:rFonts w:ascii="Times New Roman" w:hAnsi="Times New Roman"/>
          <w:b/>
          <w:color w:val="000000"/>
          <w:sz w:val="20"/>
        </w:rPr>
        <w:t>We may form or seek additional collaborations or strategic alliances or enter into additional licensing arrangements in the future. If any of these collaborations, strategic alliances or licensing arrangements are not successful, we may not be able to capitalize on the market potential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the future form or seek strategic alliances, create joint ventures or collaborations or enter into additional licensing arrangements with third parties that we believe will complement or augment our development and commercialization efforts with respect to our current or future product candidates. Any of these relationships may require us to incur non-recurring and other charges, increase our near and long-term expenditures, issue securities that dilute our existing stockholders or disrupt our management and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 because they may be deemed to be at too early of a stage of development for collaborative effort and third parties may not view our product candidate as having the requisite potential to demonstrate safety, potency, purity and efficacy and obtain marketing approval. Additionally, our existing partners may decide to acquire or partner with other companies developing oncology therapeutics, which may have an adverse impact on our business prospects, financial condition and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if we enter into additional collaboration agreements and strategic partnerships or license our product candidate,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 could delay the development and commercialization of our product candidate in certain geographies for certain indications, which would harm our business prospects, financial condition and results of operations. </w:t>
      </w:r>
    </w:p>
    <w:p>
      <w:pPr>
        <w:pStyle w:val="TextBody"/>
        <w:bidi w:val="0"/>
        <w:spacing w:before="120" w:after="283"/>
        <w:jc w:val="both"/>
        <w:rPr>
          <w:rFonts w:ascii="Times New Roman" w:hAnsi="Times New Roman"/>
          <w:sz w:val="20"/>
        </w:rPr>
      </w:pPr>
      <w:r>
        <w:rPr>
          <w:rFonts w:ascii="Times New Roman" w:hAnsi="Times New Roman"/>
          <w:b/>
          <w:color w:val="000000"/>
          <w:sz w:val="20"/>
        </w:rPr>
        <w:t>We rely on third parties to manufacture our product candidate. Any failure by a third party manufacturer to produce acceptable raw materials or product candidate for us or to obtain authorization from the FDA or comparable foreign regulatory authorities relating thereto may delay or impair our ability to initiate or complete our clinical trials, obtain regulatory licensure or approvals or commercialize approved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have, nor do we plan to acquire, the infrastructure or capability to manufacture or distribute preclinical, clinical or commercial quantities of drug substance or drug product, including our existing product candidate. We rely on third party contract manufacturers to manufacture our preclinical and clinical trial product supplies. We expect to continue to rely on third party manufacturers if we receive regulatory licensure for our product candidate. We do not have complete control over the ability of our third party manufacturers to maintain adequate manufacturing capacity and capabilities to serve our needs, including quality control, quality assurance and qualified personnel. There can be no assurance that our preclinical and clinical development product supplies will not be limited, interrupted, or of satisfactory quality or continue to be available at acceptable prices, whether as a result of inflationary pressures or otherwise.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any replacement of any of our manufacturers could require significant effort and expense because there may be a limited number of qualified replacements and could take a significant amount of time to complete.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 (cGMP). In the event that any of our manufacturers fail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our product candidate in a timely manner or within budget.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continue to rely on third party manufacturers if we receive regulatory licensure for our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our product candidate, or to do so on commercially reasonable terms, we may not be able to develop and commercialize our product candidate successfully. Our or a third party’s failure to execute on our manufacturing requirements and comply with cGMP or similar foreign requirements could adversely affect our business in a number of ways,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inability to initiate or continue clinical trials of the product candidate under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in submitting regulatory applications, or receiving regulatory licenses, for the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the cooperation of an existing or future collaborator;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subjecting third party manufacturing facilities or our manufacturing facilities to additional inspections by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requirements to cease distribution or to recall batches of our product candidate;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a product candidate, and an inability to meet commercial demands for such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unable to establish agreements with third party CDMOs, or to do so on acceptable terms. Even if we are able to establish agreements with CDMOs, reliance on them entails additional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the CDMO for regulatory, compliance and quality assurance;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breach of the manufacturing agreement by the CDMO;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termination or non-renewal of the agreement by the CDMO at a time that is costly or inconvenient for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only limited technology transfer agreements in place with respect to our product candidate, and these arrangements do not extend to commercial supply and, in some instances, to clinical supply. We acquire many key materials on a purchase order basis. As a result, we do not have long-term committed arrangements with respect to our product candidate and other materials. If we receive marketing licensure for our product candidate, we will need to establish an agreement for commercial manufacture with a third party.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CDMOs we retain may not be able to comply with cGMP regulations or comparable foreign regulatory requirements. Our failure, or the failure of our CDMOs, to comply with applicable regulations could result in sanctions being imposed on us, including clinical holds, fines, injunctions, civil penalties, delays, suspension or withdrawal of license, license revocation, seizures or recalls of our product candidate or products, operating restrictions and criminal prosecutions, any of which could significantly and adversely affect supplies of our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facilities used by our contract manufacturers to manufacture our product candidate must be approved by the FDA or the EU Member States in coordination with the EMA pursuant to inspections that will be conducted after we submit our BLA to the FDA or our marketing authorization application to the EMA. We do not have complete control over all aspects of the manufacturing process of, and are dependent on, our contract manufacturing partners for compliance with cGMP regulations for manufacturing. Third party manufacturers may not be able to comply with cGMP regulations or comparable foreign regulatory requirements. If our contract manufacturers cannot successfully manufacture material that conforms to our specifications and the strict regulatory requirements of the FDA or comparable foreign regulatory bodies, they will not be able to secure and/or maintain marketing licensure for their manufacturing facilities. In addition, we do not have complete control over the ability of our contract manufacturers to maintain adequate quality control, quality assurance and qualified personnel. If the FDA, EU Member States and the EMA or other comparable regulatory authorities do not approve these facilities for the manufacture of our product candidate or if they withdraw any such licensure in the future, we may need to find alternative manufacturing facilities, which would significantly impact our ability to develop, obtain marketing licensure for or market our product candidate, if approved or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or the failure of our third party manufacturers, to comply with applicable regulations could result in sanctions being imposed on us, including fines, injunctions, civil penalties, delays, suspension or withdrawal of licensure, license revocation, seizures or recalls of products or our product candidate, operating restrictions and criminal prosecutions, any of which could significantly and adversely affect supplies of our product candidate and harm our business and results of operations. Our product candidate and any products that we may develop may compete with other product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licensure. We do not currently have arrangements in place for redundant supply or a second source for bulk drug substance. If our current CDMOs cannot perform as agreed, we may be required to replace such manufacturers. Although we believe that there are several potential alternative manufacturers who could manufacture our product candidate, we may incur added costs and delays in identifying and qualifying any such replacement manufacturer or be able to reach agreement with any alternative manufacturer.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 or products may adversely affect our future profit margins and our ability to commercialize any products that receive marketing licensure on a timely and competitive basis. </w:t>
      </w:r>
    </w:p>
    <w:p>
      <w:pPr>
        <w:pStyle w:val="TextBody"/>
        <w:bidi w:val="0"/>
        <w:spacing w:before="120" w:after="283"/>
        <w:jc w:val="both"/>
        <w:rPr>
          <w:rFonts w:ascii="Times New Roman" w:hAnsi="Times New Roman"/>
          <w:sz w:val="20"/>
        </w:rPr>
      </w:pPr>
      <w:r>
        <w:rPr>
          <w:rFonts w:ascii="Times New Roman" w:hAnsi="Times New Roman"/>
          <w:b/>
          <w:color w:val="000000"/>
          <w:sz w:val="20"/>
        </w:rPr>
        <w:t>Legislative or regulatory restrictions on the use of certain foreign biotechnology or manufacturing service providers could materially disrupt our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rely on third-party manufacturers, suppliers and service providers for the development, manufacture and supply of our product candidate and related materials. Some of these third parties, or their subcontractors, may be located outside the United States. From time to time, legislative or regulatory proposals are introduced that could restrict, condition or prohibit U.S. companies from contracting with, or sourcing from, certain foreign biotechnology or manufacturing service providers, including providers located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such restrictions are enacted or expanded, we or our vendors may be required to discontinue relationships with affected counterparties, even if those counterparties provide specialized capabilities, capacity, or cost advantages. Transitioning to alternative providers could require significant time and expense, including technology transfer, qualification and validation activities, additional audits, and potential regulatory engagement. We may be unable to identify acceptable alternatives on reasonable timelines or terms, which could delay clinical trials, interrupt manufacturing, increase development costs, and materially adversely affect our business and prospects.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portion of our manufacturing of our product candidate takes place in China, through third party manufacturers. A significant disruption in the operation of those manufacturers could materially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contract manufacturing operations to third parties, and large quantities of our product candidate is manufactured by these third parties globally, including in China. Any disruption in production or inability of our manufacturers to produce adequate quantities to meet our needs could impair our ability to operate our business on a day-to-day basis and to continue our development of our product candidate. Certain foreign biotechnology companies and CDMOs, including those with operations in China, may become subject to U.S. legislative, regulatory or policy restrictions, including proposals such as the BIOSECURE Act, that could restrict or prohibit our ability to utilize such service providers. The Act could impose trade restrictions, sanctions, and other regulatory requirements by the U.S. government, which could restrict or even prohibit our ability to work with such entities. If we are restricted or prohibited from working with our current CDMOs, we may incur added costs or reduction of the supply of material available to us, delays in the procurement or supply of such material or adverse effects on our ability to manufacture our product candidate. Additionally, changes in U.S. trade policy, sanctions, export controls, import restrictions, tariffs, or other measures targeting certain foreign jurisdictions or entities could increase our costs, delay clinical supply, limit access to manufacturing capacity or materials, or require us to transition to alternative vendors, which could require significant time, expense, and regulatory effort. Any such disruptions could accelerate our cash burn and increase our need for additional capital. Any of these matters could materially and adversely affect our business and results of operations. Any recall of the manufacturing lots or similar action regarding our product candidate used in clinical trials could delay the trials or detract from the integrity of the trial data and its potential use in future regulatory filings. In addition, supply chain disruptions and delays may also occur as a result of any new tariff policies or trade restrictions, which could also negatively impact third party manufacturing. Any of these matters could materially and adversely affect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Our CDMOs may be unable to successfully scale-up manufacturing of our product candidate in sufficient quality and quantity, which would delay or prevent us from developing our product candidate and commercializing approved products, if 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continue conducting clinical trials of our product candidate and subsequently commercialize our product candidate, we will need to manufacture it in large quantities. Quality and feasibility issues may arise during scale-up activities. Our reliance on a limited number of CDMOs, the complexity of drug manufacturing and the difficulty of scaling up a manufacturing process could cause the delay of clinical trials, regulatory submissions, required licensure, or commercialization of our product candidate, cause us to incur higher costs and prevent us from commercializing our product candidate successfully. Furthermore, if our CDMOs fail to deliver the required commercial quality and quantities of materials on a timely basis and at commercially reasonable prices, and we are unable to secure one or more replacement CDMOs capable of production in a timely manner at a substantially equivalent cost, then testing and clinical trials of our product candidate may be delayed or infeasible, and regulatory licensure or commercial launch of any resulting product may be delayed or not obtained, which could significantly harm our business.</w:t>
      </w:r>
    </w:p>
    <w:p>
      <w:pPr>
        <w:pStyle w:val="TextBody"/>
        <w:bidi w:val="0"/>
        <w:spacing w:before="120" w:after="283"/>
        <w:jc w:val="both"/>
        <w:rPr>
          <w:rFonts w:ascii="Times New Roman" w:hAnsi="Times New Roman"/>
          <w:sz w:val="20"/>
        </w:rPr>
      </w:pPr>
      <w:r>
        <w:rPr>
          <w:rFonts w:ascii="Times New Roman" w:hAnsi="Times New Roman"/>
          <w:b/>
          <w:color w:val="000000"/>
          <w:sz w:val="20"/>
        </w:rPr>
        <w:t>If we are unable to obtain sufficient raw and intermediate materials on a timely basis or if we experience other manufacturing or supply difficulties,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manufacture of our product candidate requires the timely delivery of sufficient amounts of raw and intermediate materials. We work closely with our suppliers to ensure the continuity of supply but cannot guarantee these efforts will always be successful. Further, while efforts are made to diversify our sources of raw and intermediate materials, in certain instances we acquire raw and intermediate materials from a sole supplier. While we believe that alternative sources of supply exist where we rely on sole supplier relationships, there can be no assurance that we will be able to quickly establish additional or replacement sources for some materials or that the replacement source will be obtainable at a substantially equivalent cost. A reduction or interruption in supply, and an inability to develop suitable alternative sources for such supply, could adversely affect our ability to manufacture our product candidate in a timely or cost-effective manner. </w:t>
      </w:r>
    </w:p>
    <w:p>
      <w:pPr>
        <w:pStyle w:val="TextBody"/>
        <w:bidi w:val="0"/>
        <w:spacing w:before="120" w:after="283"/>
        <w:jc w:val="both"/>
        <w:rPr>
          <w:rFonts w:ascii="Times New Roman" w:hAnsi="Times New Roman"/>
          <w:sz w:val="20"/>
        </w:rPr>
      </w:pPr>
      <w:r>
        <w:rPr>
          <w:rFonts w:ascii="Times New Roman" w:hAnsi="Times New Roman"/>
          <w:b/>
          <w:color w:val="000000"/>
          <w:sz w:val="20"/>
        </w:rPr>
        <w:t>We expect to rely on third parties to conduct our clinical trials, and those third parties may not perform satisfactorily, including failing to meet deadlines for completing such trials.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rely on third party CROs to conduct clinical trials for our product candidate.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licenses for our product candidate and will not be able to, or may be delayed in our efforts to, successfully commercialize our product candidate.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If we are unable to obtain or protect our intellectual property in and to our product candidate, we may not be able to compete effectively in our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upon a combination of patents, proprietary know-how, trade secret protection and confidentiality agreements to protect the intellectual property related to our product candidate and discovery programs. Our success depends in large part on our ability to obtain and maintain patent and other intellectual property rights in the U.S. and other countries. We and or licensors have filed patent applications in the U.S. and abroad directed to our product candidate in an effort to establish intellectual property positions for their compositions of matter as well as uses in the treatment of diseases. Our intellectual property includes patents and patent applications that we own, as well as those we in-license, including in-licensed patents that we manage directly and those that remain managed by our licensors.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or our licensors have not pursued or maintained, and may not pursue or maintain in the future, patent protection for our product candidate in every country or territory in which we may sell our products, if approved. The patent prosecution process is expensive and time-consuming, and we may not be able to file and prosecute all necessary or desirable patent applications at a reasonable cost or in a timely manner. In addition, we cannot be sure that any of our pending patent applications will issue, or that if issued, will be in a form advantageous to us. The United States Patent and Trademark Office (USPTO), international patent offices, or judicial bodies may deny, or significantly narrow claims made under our patent applications and our patents may be successfully challenged, may be designed around, or may otherwise be of insufficient scope to provide us with protection for our commercial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is possible that we will fail to identify patentable aspects of our research and development output before it is too late to obtain patent protection. We may be subject to a third party submission of prior art to the USPTO, or other patent offices, in our pending patent applications. There is no assurance that all of the potentially relevant prior art relating to our patents and patent applications has been found, which can invalidate a patent or prevent a patent from issuing. In addition to the above, patent prosecution is a lengthy process, during which the scope of the claims initially submitted for examination by the USPTO may be significantly narrowed or may not issue at all. The claims of our issued patents or patent applications when issued may not cover our current or future product candidate, or even if such patents provide coverage, the coverage obtained may not provide any competitive advantage. The patent applications that we own, or in-license, may fail to result in issued patents with claims that cover our current or future product candidate in the U.S. or in other foreign countries, or we may be required to disclaim all or a portion of the remaining patent term to secure issuance. Even if patents do successfully issue,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current and future product candidates. Further, if we encounter delays in regulatory licensure or approvals, the period of time during which we could market a product candidate under patent protection could be reduced.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the patent applications we own or have in-licensed with respect to our product candidate and discovery programs fail to issue, if their breadth or strength of protection is threatened, or if they fail to provide meaningful exclusivity for our current or any future product candidates, it could dissuade companies from collaborating with us to develop and commercialize product candidates and future drugs and threaten our ability to commercialize future drugs. Any such outcome could have a negative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In addition, the laws of foreign countries may not protect our intellectual property rights to the same extent as the laws of the U.S. For example, European patent law restricts the patentability of methods of treatment of the human body more than U.S. law does. Furthermore, other parties may have developed or may develop technologies that may be related to, or competitive with, our technologies, and such parties may have filed, or may file, patent applications, or may have received, or may receive, patents, claiming inventions that may overlap or conflict with those claimed in our patent applications or issued patents, and that we may rely upon to establish exclusivity for our products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It is also possible that in our evaluation of third party intellectual property, we failed to identify relevant patents or applications. We cannot guarantee that any of our patent searches or analyses, including but not limited to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our current and future products. As a result, the issuance, scope, validity, enforceability and commercial value of our patent rights are highly uncertain. Our pending and future patent applications may not result in patents being issued which protect our technology or drugs, in whole or in part, or which effectively prevent others from commercializing competitive technologies and drugs. Changes in either the patent laws or interpretation of the patent laws in the U.S. and other countries may diminish the value of our patents or narrow the scope of our patent protection.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 rights may be challenged in the courts or patent offices in the U.S. and abroad. For example, we may become involved in opposition, derivation, reexamination, inter partes review, post-grant review, or interference proceedings challenging our patent rights or the patent rights of others. An adverse determination in any such proceeding, or in litigation, could reduce the scope of our patent claims, result in our patent rights being held invalid, in whole or in part, or unenforceable, or limit the duration of the patent protection of our technology and products, and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our current or any future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patents have a limited lifespan. In the U.S. and internationally, a patent generally expires 20 years after the earliest filing date of a non-provisional patent application. Various extensions may or may not be available; however, the life of a patent, and the protection it affords, is limited. Without patent protection for our current or future product candidate, we may be open to competition from generic and/or biosimilar versions of such products. Given the amount of time required for the development, testing and regulatory review of new product candidate, patents protecting such candidate might expire before or shortly after such candidates are commercialized. As a result, our owned and licensed patent rights may not provide us with sufficient rights to exclude others from commercializing drugs similar or identical to ours. We may also rely on trade secrets, know-how and continuing technological innovation to develop and maintain our proprietary and intellectual property position. Even if our patent rights are unchallenged, our issued patents and our pending patent applications, if issued, may not provide us with any meaningful protection or prevent competitors from designing around our patent claims to circumvent our owned or licensed patent rights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protection provided by our patent rights with respect to our product candidates is not sufficiently broad to impede such competition, or if the breadth, strength or term (including any extensions or adjustments) of protection provided by our patent rights with respect to our product candidates or any future product candidates is successfully challenged, our ability to successfully commercialize our product candidate could be negatively affected, which would harm our business. </w:t>
      </w:r>
    </w:p>
    <w:p>
      <w:pPr>
        <w:pStyle w:val="TextBody"/>
        <w:bidi w:val="0"/>
        <w:spacing w:before="120" w:after="283"/>
        <w:jc w:val="both"/>
        <w:rPr>
          <w:rFonts w:ascii="Times New Roman" w:hAnsi="Times New Roman"/>
          <w:sz w:val="20"/>
        </w:rPr>
      </w:pPr>
      <w:r>
        <w:rPr>
          <w:rFonts w:ascii="Times New Roman" w:hAnsi="Times New Roman"/>
          <w:b/>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of the U.S. over the lifetime of our owned and licensed patents and/or applications and any patent rights we may own or license in the future. We rely on a combination of in-house employees, reputable law firms, service providers, and our licensors to pay these fees and to help us comply with these requirements.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are unsuccessful in our application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120" w:after="283"/>
        <w:jc w:val="both"/>
        <w:rPr>
          <w:rFonts w:ascii="Times New Roman" w:hAnsi="Times New Roman"/>
          <w:sz w:val="20"/>
        </w:rPr>
      </w:pPr>
      <w:r>
        <w:rPr>
          <w:rFonts w:ascii="Times New Roman" w:hAnsi="Times New Roman"/>
          <w:b/>
          <w:color w:val="000000"/>
          <w:sz w:val="20"/>
        </w:rPr>
        <w:t>Third parties may initiate legal proceedings alleging that we are infringing their intellectual property rights, the outcome of which would be uncertain and could have a negative impact on the success of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initiate legal proceedings against us or our licensors or collaborators alleging that we or our licensors or collaborators are infringing their intellectual property rights or to challenge the validity or scope of our intellectual property rights, including in oppositions, interferences, reexaminations, inter partes reviews, derivation or other similar proceedings before the U.S. or other domestic or foreign jurisdictions. These proceedings can be expensive and time-consuming and adversaries in these proceedings may have the ability to dedicate substantially greater resources to prosecuting these legal actions than we or our licensors or collaborators can.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A finding of infringement could prevent us from commercializing our product candidates or force us to cease some of our business operations, which could materially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consultants or advisors were previously, or are currently,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have used or disclosed confidential information or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distract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w:t>
      </w:r>
    </w:p>
    <w:p>
      <w:pPr>
        <w:pStyle w:val="TextBody"/>
        <w:bidi w:val="0"/>
        <w:spacing w:before="120" w:after="283"/>
        <w:jc w:val="both"/>
        <w:rPr>
          <w:rFonts w:ascii="Times New Roman" w:hAnsi="Times New Roman"/>
          <w:sz w:val="20"/>
        </w:rPr>
      </w:pPr>
      <w:r>
        <w:rPr>
          <w:rFonts w:ascii="Times New Roman" w:hAnsi="Times New Roman"/>
          <w:b/>
          <w:color w:val="000000"/>
          <w:sz w:val="20"/>
        </w:rPr>
        <w:t>Licensing of intellectual property is of critical importance to our business and involves complex legal, business and scientific issues. If we breach our Pfizer license agreement or any of the other agreements under which we acquired, or will acquire, intellectual property rights covering our product candidates, we could lose the ability to continue the development and commercialization of the related product candidates(s).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may enter into additional such agreements in the future. In particular, the rights to the intellectual property covering the MICVO composition of matter are in-licensed from Pfizer. If we fail to meet our obligations under any of our in-license agreements, including the amended and restated license agreement with Pfizer, dated October 6, 2022, as further amended, then the licensor may terminate the license agreement. If one of our material in-license agreements is terminated, we will lose the right to continue to develop and commercialize the product candidate(s) covered by such in-license agreement. While we would expect to exercise all rights and remedies available to us, including seeking to cure any breach by us, and otherwise seek to preserve our rights under our in-license agreements, we may not be able to do so in a timely manner, at an acceptable cost or at all. If Pfizer chooses not to defend or enforce, or fails to defend or enforce, the Licensed Platform Patent Rights, including certain patent families that read on certain aspects of MICVO, these patent rights may be adversely affected and our ability to continue the development and commercialization of MICVO may be adversely affected. If we fail to defend or enforce the Licensed ADC Patent Rights, which read directly on the MICVO composition of matter, these patent rights may be adversely affected and our ability to continue the development and commercialization of MICVO may be adversely affected.</w:t>
      </w:r>
    </w:p>
    <w:p>
      <w:pPr>
        <w:pStyle w:val="TextBody"/>
        <w:bidi w:val="0"/>
        <w:spacing w:before="120" w:after="283"/>
        <w:jc w:val="both"/>
        <w:rPr>
          <w:rFonts w:ascii="Times New Roman" w:hAnsi="Times New Roman"/>
          <w:sz w:val="20"/>
        </w:rPr>
      </w:pPr>
      <w:r>
        <w:rPr>
          <w:rFonts w:ascii="Times New Roman" w:hAnsi="Times New Roman"/>
          <w:b/>
          <w:color w:val="000000"/>
          <w:sz w:val="20"/>
        </w:rPr>
        <w:t>We may become involved in lawsuits to protect or enforce our patents, the patents of our licensors or our other intellectual property rights,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is unenforceable, or may refuse to stop the other party from using the technology at issue on the grounds that our patents do not cover the technology in question. An adverse result in such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 claims against us, such as claims asserting that our patent rights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 review, or post-grant review, or oppositions or similar proceedings outside the U.S.,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prevent, alone or with our licensors, misappropriation of our intellectual property rights, particularly in countries where the laws may not protect those rights as fully as in the U.S.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 </w:t>
      </w:r>
    </w:p>
    <w:p>
      <w:pPr>
        <w:pStyle w:val="TextBody"/>
        <w:bidi w:val="0"/>
        <w:spacing w:before="120" w:after="283"/>
        <w:jc w:val="both"/>
        <w:rPr>
          <w:rFonts w:ascii="Times New Roman" w:hAnsi="Times New Roman"/>
          <w:sz w:val="20"/>
        </w:rPr>
      </w:pPr>
      <w:r>
        <w:rPr>
          <w:rFonts w:ascii="Times New Roman" w:hAnsi="Times New Roman"/>
          <w:b/>
          <w:color w:val="000000"/>
          <w:sz w:val="20"/>
        </w:rPr>
        <w:t>Changes in U.S. patent law or the patent law of other countries or jurisdictions could diminish the value of patents in general, thereby impairing our ability to protect our current and any future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has recently enacted and implemented wide ranging patent reform legislation. The U.S. Supreme Court has ruled on several patent cases in recent years, either narrowing the scope of patent protection available or weakening the rights of patent owners in certain circumstances or situations. In addition to increasing uncertainty regarding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For example, many foreign countries have compulsory licensing laws under which a patent owner must grant licenses to third parties, or limit the enforceability of patents against third parties, including government agencies or government contractors.</w:t>
      </w:r>
    </w:p>
    <w:p>
      <w:pPr>
        <w:pStyle w:val="TextBody"/>
        <w:bidi w:val="0"/>
        <w:spacing w:before="120" w:after="283"/>
        <w:jc w:val="both"/>
        <w:rPr>
          <w:rFonts w:ascii="Times New Roman" w:hAnsi="Times New Roman"/>
          <w:sz w:val="20"/>
        </w:rPr>
      </w:pPr>
      <w:r>
        <w:rPr>
          <w:rFonts w:ascii="Times New Roman" w:hAnsi="Times New Roman"/>
          <w:b/>
          <w:color w:val="000000"/>
          <w:sz w:val="20"/>
        </w:rPr>
        <w:t>We may not be able to protect our intellectual property rights throughout the world, which could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the U.S. These products may compete with our products in jurisdictions where we do not have any issued or licensed patents and any future patent claims, or other intellectual property rights may not be effective or sufficient to prevent them from so competing. Additionally, some foreign countries do not protect intellectual property rights to the same extent as the federal laws of the U.S. and we may encounter problem protecting and defending our intellectual properties rights in such countries, which could negatively affect our business. For example, many foreign countries have compulsory licensing laws under which a patent owner must grant licenses to third parties, or limit the enforceability of patents against third parties, including government agencies or government contractors.</w:t>
      </w:r>
    </w:p>
    <w:p>
      <w:pPr>
        <w:pStyle w:val="TextBody"/>
        <w:bidi w:val="0"/>
        <w:spacing w:before="120" w:after="283"/>
        <w:jc w:val="both"/>
        <w:rPr>
          <w:rFonts w:ascii="Times New Roman" w:hAnsi="Times New Roman"/>
          <w:sz w:val="20"/>
        </w:rPr>
      </w:pPr>
      <w:r>
        <w:rPr>
          <w:rFonts w:ascii="Times New Roman" w:hAnsi="Times New Roman"/>
          <w:b/>
          <w:color w:val="000000"/>
          <w:sz w:val="20"/>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seeking patent and trademark protection for our product candidates, we may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protect trade secrets.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we rely on third parties to help us discover, develop, manufacture or commercialize our current and any future product candidates, or if we collaborate with third parties for the development, manufacturing or commercialization of our current or any future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 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U.S. are sometimes less willing to protect trade secrets.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both"/>
        <w:rPr>
          <w:rFonts w:ascii="Times New Roman" w:hAnsi="Times New Roman"/>
          <w:sz w:val="20"/>
        </w:rPr>
      </w:pPr>
      <w:r>
        <w:rPr>
          <w:rFonts w:ascii="Times New Roman" w:hAnsi="Times New Roman"/>
          <w:b/>
          <w:color w:val="000000"/>
          <w:sz w:val="20"/>
        </w:rPr>
        <w:t>Our stock price is volatile, and you could lose all or part of your 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is highly volatile. As a result of this volatility, investors may not be able to sell their common stock at or above the price they purchased their common stock. The market price for our common stock may be influenced by many factors, including the other risks described in this section of the Quarterly Report on Form 10-Q titled “Risk Factors” and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our preclinical studies, IND submissions and clinical trials, of our product candidate, or those of our competitors or our existing or future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actions with respect to our products, product candidate, preclinical studies, clinical trials, manufacturing process or sales and marketing terms or that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joint ventures or capital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including patents, litigation matters and our ability to obtain patent protection for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including announcement and expectation of additional financing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our insiders or our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principles;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and market conditions, including, but not limited to, terrorist acts, acts of war, periods of widespread civil unrest, natural disasters, public health emergencies and other calamities.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Future issuances of equity securities, including securities issuable upon the exercise of outstanding warrants, and issuances of debt securities that are convertible into equity, may dilute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capital in the future. We have recently raised capital through equity financings. For example, on July 2, 2026, we closed a private placement with certain institutional accredited investors and received gross proceeds of approximately $50 million, before deducting placement agent fees and offering expenses, and may receive an additional approximately $64.0 million of gross proceeds if the accompanying common warrants are exercised in full for cash. We may continue to raise additional capital in the future. To the extent we raise additional capital through the issuance of equity or convertible debt securities in the future, there will be dilution to our existing investors and the terms of these securities may include liquidation or other preferences that adversely affect existing our stockholders’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holders of outstanding warrants (including warrants issued as part of the private placement) and other convertible or exercisable securities may acquire shares of our common stock in the future, resulting in additional dilution to existing stockholders.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 </w:t>
      </w:r>
    </w:p>
    <w:p>
      <w:pPr>
        <w:pStyle w:val="TextBody"/>
        <w:bidi w:val="0"/>
        <w:spacing w:before="120" w:after="283"/>
        <w:jc w:val="both"/>
        <w:rPr>
          <w:rFonts w:ascii="Times New Roman" w:hAnsi="Times New Roman"/>
          <w:sz w:val="20"/>
        </w:rPr>
      </w:pPr>
      <w:r>
        <w:rPr>
          <w:rFonts w:ascii="Times New Roman" w:hAnsi="Times New Roman"/>
          <w:b/>
          <w:color w:val="000000"/>
          <w:sz w:val="20"/>
        </w:rPr>
        <w:t>If securities or industry analysts do not publish research or reports about our business, or if they issue adverse or misleading research or reports regarding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product candidate,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Unstable market and economic conditions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bank failures, increases in inflation rates and uncertainty about economic stability.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Any significant increases in inflation and related increases in interest rates could have a material adverse effect on our business, results of operations and financial condition.</w:t>
      </w:r>
    </w:p>
    <w:p>
      <w:pPr>
        <w:pStyle w:val="TextBody"/>
        <w:bidi w:val="0"/>
        <w:spacing w:before="120" w:after="283"/>
        <w:jc w:val="both"/>
        <w:rPr>
          <w:rFonts w:ascii="Times New Roman" w:hAnsi="Times New Roman"/>
          <w:sz w:val="20"/>
        </w:rPr>
      </w:pPr>
      <w:r>
        <w:rPr>
          <w:rFonts w:ascii="Times New Roman" w:hAnsi="Times New Roman"/>
          <w:b/>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As of August 12, 2026, our executive officers and directors, together with holders of more than 5% of our outstanding common stock and their respective affiliates, beneficially owned, in the aggregate and without duplication, approximately 38.1% of our outstanding common stock, or approximately 57.6% including shares issuable upon exercise of options and warrants exercisable within 60 days of that date, determined in accordance with Rule 13d-3 under the Exchange Act. Shares underlying unexercised options and warrants do not vote until exercised.</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these stockholders, if acting together,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Sales of a substantial number of shares of our common stock in the public market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issued additional shares of common stock and common stock warrants in connection with the recent private placement financings which closed on July 2, 2026. Our common stock price could decline as a result of sales of many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120" w:after="283"/>
        <w:jc w:val="both"/>
        <w:rPr>
          <w:rFonts w:ascii="Times New Roman" w:hAnsi="Times New Roman"/>
          <w:sz w:val="20"/>
        </w:rPr>
      </w:pPr>
      <w:r>
        <w:rPr>
          <w:rFonts w:ascii="Times New Roman" w:hAnsi="Times New Roman"/>
          <w:b/>
          <w:color w:val="000000"/>
          <w:sz w:val="20"/>
        </w:rPr>
        <w:t>We are an “emerging growth company” and a “smaller reporting company,” and the reduced disclosure requirements applicable to us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We will remain an emerging growth company until the earlier of (i) the last day of the fiscal year (a) following the fifth anniversary of the completion of our initial public offering (IPO), (b) in which we have total annual gross revenue of at least $1.235 billion or (c) in which we are deemed to be a large accelerated filer, which means the market value of our common stock that is held by non-affiliates exceeded $700 million as of the prior June 30th and (ii) the date on which we have issued more than $1.0 billion in non-convertible debt during the prior three-year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emerging growth company may take advantage of specified reduced reporting requirements and other burdens that are otherwise applicable generally to public companies. These provisions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of Section 404 of the Sarbanes-Oxley Act of 2002, or the Sarbanes-Oxley Act;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exemption from compliance with any new requirements adopted by the Public Company Accounting Oversight Board regarding mandatory audit firm rotations;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proxy statements and registration statements;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exemptions from the requirement to hold a nonbinding advisory vote on executive compensation and to obtain stockholder approval of any golden parachute payments not previously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elected to take advantage of certain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irrevocably elected not to avail ourself of this extended transition period, and, as a result, we will adopt new or revised accounting standards on the relevant dates on which adoption of such standards is required for other public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also a “smaller reporting company,” and will continue to be a smaller reporting company as long as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 </w:t>
      </w:r>
    </w:p>
    <w:p>
      <w:pPr>
        <w:pStyle w:val="TextBody"/>
        <w:bidi w:val="0"/>
        <w:spacing w:before="120" w:after="283"/>
        <w:jc w:val="both"/>
        <w:rPr>
          <w:rFonts w:ascii="Times New Roman" w:hAnsi="Times New Roman"/>
          <w:sz w:val="20"/>
        </w:rPr>
      </w:pPr>
      <w:r>
        <w:rPr>
          <w:rFonts w:ascii="Times New Roman" w:hAnsi="Times New Roman"/>
          <w:b/>
          <w:color w:val="000000"/>
          <w:sz w:val="20"/>
        </w:rPr>
        <w:t>Anti-takeover provisions in our charter documents and under Delaware law would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actions by our stockholders by written consent;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chairman of our board of directors, our chief executive officer, or our board of directors pursuant to a resolution adopted by a majority of the total number of authorized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requirements for election to our board of directors and for proposing matters that can be acted upon at stockholder meetings;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directors may only be removed “for cause” and only with 66 2/3% voting stock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requirement that only the board of directors may change the number of directors and fill vacancies on the board;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division of our board of directors into three classes, serving staggered terms of three years each;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authority of the board of directors to issue preferred stock with such terms as the board of directors may determine.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We have incurred and will continue to incur increased costs as a result of operating as a public company, and our management has and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have incurred and, particularly after we are no longer an emerging growth company or a smaller reporting company, we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devote a substantial amount of time to these compliance initiatives. Moreover, these rules and regulations have increased and will continue to increase our legal and financial compliance costs and will make some activities more time-consuming and costly. For example,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as a public company, we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or a smaller reporting company, we will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Nasdaq.</w:t>
      </w:r>
    </w:p>
    <w:p>
      <w:pPr>
        <w:pStyle w:val="TextBody"/>
        <w:bidi w:val="0"/>
        <w:spacing w:before="120" w:after="283"/>
        <w:jc w:val="both"/>
        <w:rPr>
          <w:rFonts w:ascii="Times New Roman" w:hAnsi="Times New Roman"/>
          <w:sz w:val="20"/>
        </w:rPr>
      </w:pPr>
      <w:r>
        <w:rPr>
          <w:rFonts w:ascii="Times New Roman" w:hAnsi="Times New Roman"/>
          <w:b/>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U.S Securities and Exchange Commission.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both"/>
        <w:rPr>
          <w:rFonts w:ascii="Times New Roman" w:hAnsi="Times New Roman"/>
          <w:sz w:val="20"/>
        </w:rPr>
      </w:pPr>
      <w:r>
        <w:rPr>
          <w:rFonts w:ascii="Times New Roman" w:hAnsi="Times New Roman"/>
          <w:b/>
          <w:color w:val="000000"/>
          <w:sz w:val="20"/>
        </w:rPr>
        <w:t>Because we do not anticipate paying any cash dividends on our capital stock in the foreseeable future, your ability to achieve a return on your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b/>
          <w:color w:val="000000"/>
          <w:sz w:val="20"/>
        </w:rPr>
        <w:t>We may be subject to securities litigation, which is expensive and could divert our management’s attention.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past, companies that have experienced volatility in the market price of their securities have been subject to securities class action litigation. We may be the target of this type of litigation in the future. In addition, securities class action lawsuits and derivative lawsuits are often brought against public companies that have entered into merger agreements. Even if the lawsuits are without merit, defending against these claims could result in substantial costs and divert management time and resources. We may be a target for securities and shareholder lawsuits in the future. Regardless of the merits or the ultimate results of such litigation, securities litigation brought against us could result in substantial costs and divert our management’s attention from other business concerns. </w:t>
      </w:r>
    </w:p>
    <w:p>
      <w:pPr>
        <w:pStyle w:val="TextBody"/>
        <w:bidi w:val="0"/>
        <w:spacing w:before="120" w:after="283"/>
        <w:jc w:val="both"/>
        <w:rPr>
          <w:rFonts w:ascii="Times New Roman" w:hAnsi="Times New Roman"/>
          <w:sz w:val="20"/>
        </w:rPr>
      </w:pPr>
      <w:r>
        <w:rPr>
          <w:rFonts w:ascii="Times New Roman" w:hAnsi="Times New Roman"/>
          <w:b/>
          <w:color w:val="000000"/>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another state court located within the State of Delaware, or the federal district court for the District of Delaware) shall be the sole and exclusive forum for the following types of proceedings: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or (5) any other action asserting an “internal corporate claim,” as defined in Section 115 of the Delaware General Corporation Law. This provision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U.S. will be the exclusive forum to the fullest extent permitted by law, for resolving any complaint asserting a cause of action arising under the Securities Act or the Exchange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120" w:after="283"/>
        <w:jc w:val="both"/>
        <w:rPr>
          <w:rFonts w:ascii="Times New Roman" w:hAnsi="Times New Roman"/>
          <w:sz w:val="20"/>
        </w:rPr>
      </w:pPr>
      <w:r>
        <w:rPr>
          <w:rFonts w:ascii="Times New Roman" w:hAnsi="Times New Roman"/>
          <w:b/>
          <w:color w:val="000000"/>
          <w:sz w:val="20"/>
        </w:rPr>
        <w:t>Our ability to use net operating loss carryforwards and other tax attributes may be subject to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certain limitations (including the limitations described below) until such unused losses expire (if at all). As of December 31, 2025, our federal and state net operating losses (NOLs) in the United States were $82.1 million ($390.9 million before tax) and $14.3 million ($218.2 million before tax) respectively. The federal net operating loss carryforward generated in the United States after tax year 2017 can be carried forward indefinitely but may be subject to annual usage limitations to the extent certain substantial changes in the entity's ownership occur. The federal net operating loss carryforward relating to tax years prior to 2017 of $5.9 million ($28.3 million before tax), acquired through Apexigen, begin to expire in 2033. The state net operating loss carryforwards begin expiring in 2035. In addition, as of December 31, 2025, we had $10.0 million and $3.6 million of federal and state credit carryovers which begin to expire in 2030. These loss and credit carryforwards are subject to review and possible adjustment by the appropriate taxing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NOL and credit carryforwards are subject to review and possible adjustment by the IRS, and state tax authorities. Under Section 382 of the Internal Revenue Code of 1986, as amended, or the Code, our federal NOL and credit carryforwards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our IPO. Similar rules may apply under state tax laws. We have not yet determined the amount of the cumulative change in our ownership resulting from our IPO or other transactions, or any resulting limitations on our ability to utilize our NOL carryforwards and other tax attributes. In addition, we may experience ownership changes in the future due to subsequent shifts in our stock, some of which are outside of our control.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bookmarkStart w:id="16" w:name="item_2_unregistered"/>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30, 2026, we entered into a securities purchase agreement (the “Securities Purchase Agreement”) for a private placement (the “Private Placement”) with certain institutional accredited investors (each, a “Purchaser” and collectively, the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Securities Purchase Agreement, we agreed to issue and sell to the Purchasers an aggregate of (i) 19,600,153 shares (the “Shares”) of our common stock, par value $0.001 per share (the “Common Stock”), at a purchase price of $2.551 per share, and (ii) common warrants (the “Common Warrants”) to purchase up to an equal amount of shares of our Common Stock (the “Common Warrant Shares”) at an exercise price of $3.289 per Common Warrant. The Common Warrants will be exercisable on or after the earlier of (i) the date on which we first publicly disclose clinical data from MICVO Phase 1 monotherapy study in second line and beyond Recurrent / Metastatic Head and Neck Squamous Cell Carcinoma, or (ii) October 1, 2026, and the Common Warrants will expire on July 2,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Wells Fargo Securities, LLC acted as the placement agent for the Private Placement. We have agreed to pay customary placement fees and reimburse certain expenses of the placement agent.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Private Placement closed on July 2, 2026. We received gross proceeds from the Private Placement of approximately $50 million, before deducting placement agent fees and offering expenses and may receive an additional approximately $64.0 million of gross proceeds if the accompanying Common Warrants are exercised in full for cash. We intend to use the net proceeds from the Private Placement for the continued advancement of our lead clinical program, MICVO through key clinical milestones and for working capital and general corporate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Shares and Common Warrants issued in connection with the Private Placement were not registered under the Securities Act, in reliance upon the exemption provided in Section 4(a)(2) of the Securities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2, 2026, we also entered into a registration rights agreement (the “Registration Rights Agreement”) with the Purchasers, pursuant to which we agreed to register for the resale of the Shares and Common Warrants (together, the “Registrable Securities”). Under the Registration Rights Agreement, we agreed to prepare and file a registration statement with the SEC, no later than October 2, 2026 (the “Filing Deadline”). We also agreed to use commercially reasonable efforts to cause such registration statement to become effective as soon as practicable, but in any event no later than the fifth business day following the filing of the registration statement (or, in the event of a “review” by the SEC, the 75th calendar day, following such filing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Registration Rights Agreement, we also agreed to be responsible for all fees and expenses incurred in connection with the registration of the Registrable Securities. In addition, certain liquidated damages provisions will apply to us in the event of registration failures, as described in the Registration Rights Agreement. We have granted the Purchasers customary indemnification rights in connection with the registration statement. The Purchasers have also granted us the customary indemnification rights in connection with the registration statement.</w:t>
      </w:r>
    </w:p>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Proceeds from Initial Public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17" w:name="item_3_defaults"/>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18" w:name="item_4_mine_safety"/>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19" w:name="item_5_other"/>
      <w:bookmarkEnd w:id="19"/>
      <w:r>
        <w:rPr>
          <w:rFonts w:ascii="Times New Roman" w:hAnsi="Times New Roman"/>
          <w:b/>
          <w:color w:val="000000"/>
          <w:sz w:val="20"/>
        </w:rPr>
        <w:t>Item 5. Other Information.</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Trading arrangement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16a-1(f) under the Exchange Act) adopted or terminated any “Rule 10b5-1 trading arrangement” or “non-Rule 10b5-1 trading arrangement,” as each term is defined in Item 408 of Regulation S-K for the purchase or sale of our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0" w:name="item_15_exhibits_financial"/>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3"/>
        <w:gridCol w:w="109"/>
        <w:gridCol w:w="6127"/>
        <w:gridCol w:w="511"/>
        <w:gridCol w:w="470"/>
        <w:gridCol w:w="631"/>
        <w:gridCol w:w="648"/>
        <w:gridCol w:w="956"/>
      </w:tblGrid>
      <w:tr>
        <w:trPr/>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753" w:type="dxa"/>
            <w:tcBorders>
              <w:bottom w:val="single" w:sz="8"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4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yx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yx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yx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yx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1951"/>
        <w:gridCol w:w="109"/>
        <w:gridCol w:w="406"/>
        <w:gridCol w:w="36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Pyxis Oncology,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Civik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Civik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pyxs-ex31_1.htm"/>
      <w:bookmarkStart w:id="23" w:name="kspyxs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rFonts w:ascii="Times New Roman" w:hAnsi="Times New Roman"/>
          <w:color w:val="000000"/>
          <w:sz w:val="20"/>
        </w:rPr>
      </w:pPr>
      <w:r>
        <w:rPr>
          <w:rFonts w:ascii="Times New Roman" w:hAnsi="Times New Roman"/>
          <w:color w:val="000000"/>
          <w:sz w:val="20"/>
        </w:rPr>
        <w:t>I, Thomas Civik,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Pyxis Oncology,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167" w:type="dxa"/>
        <w:jc w:val="left"/>
        <w:tblInd w:w="0" w:type="dxa"/>
        <w:tblLayout w:type="fixed"/>
        <w:tblCellMar>
          <w:top w:w="28" w:type="dxa"/>
          <w:left w:w="28" w:type="dxa"/>
          <w:bottom w:w="28" w:type="dxa"/>
          <w:right w:w="28" w:type="dxa"/>
        </w:tblCellMar>
      </w:tblPr>
      <w:tblGrid>
        <w:gridCol w:w="1951"/>
        <w:gridCol w:w="109"/>
        <w:gridCol w:w="406"/>
        <w:gridCol w:w="27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Civik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Civik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pyxs-ex31_2.htm"/>
      <w:bookmarkStart w:id="25" w:name="kspyxs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rFonts w:ascii="Times New Roman" w:hAnsi="Times New Roman"/>
          <w:color w:val="000000"/>
          <w:sz w:val="20"/>
        </w:rPr>
      </w:pPr>
      <w:r>
        <w:rPr>
          <w:rFonts w:ascii="Times New Roman" w:hAnsi="Times New Roman"/>
          <w:color w:val="000000"/>
          <w:sz w:val="20"/>
        </w:rPr>
        <w:t>I, Jitendra Wadhane,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Pyxis Oncology,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112" w:type="dxa"/>
        <w:jc w:val="left"/>
        <w:tblInd w:w="0" w:type="dxa"/>
        <w:tblLayout w:type="fixed"/>
        <w:tblCellMar>
          <w:top w:w="28" w:type="dxa"/>
          <w:left w:w="28" w:type="dxa"/>
          <w:bottom w:w="28" w:type="dxa"/>
          <w:right w:w="28" w:type="dxa"/>
        </w:tblCellMar>
      </w:tblPr>
      <w:tblGrid>
        <w:gridCol w:w="1951"/>
        <w:gridCol w:w="109"/>
        <w:gridCol w:w="406"/>
        <w:gridCol w:w="36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yxs-ex32_1.htm"/>
      <w:bookmarkStart w:id="27" w:name="kspyxsex32_1"/>
      <w:bookmarkEnd w:id="26"/>
      <w:bookmarkEnd w:id="27"/>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Pyxis Oncology,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167" w:type="dxa"/>
        <w:jc w:val="left"/>
        <w:tblInd w:w="0" w:type="dxa"/>
        <w:tblLayout w:type="fixed"/>
        <w:tblCellMar>
          <w:top w:w="28" w:type="dxa"/>
          <w:left w:w="28" w:type="dxa"/>
          <w:bottom w:w="28" w:type="dxa"/>
          <w:right w:w="28" w:type="dxa"/>
        </w:tblCellMar>
      </w:tblPr>
      <w:tblGrid>
        <w:gridCol w:w="1951"/>
        <w:gridCol w:w="109"/>
        <w:gridCol w:w="406"/>
        <w:gridCol w:w="27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 Thomas Civik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Civik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pyxs-ex32_2.htm"/>
      <w:bookmarkStart w:id="29" w:name="kspyxs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Pyxis Oncology,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112" w:type="dxa"/>
        <w:jc w:val="left"/>
        <w:tblInd w:w="0" w:type="dxa"/>
        <w:tblLayout w:type="fixed"/>
        <w:tblCellMar>
          <w:top w:w="28" w:type="dxa"/>
          <w:left w:w="28" w:type="dxa"/>
          <w:bottom w:w="28" w:type="dxa"/>
          <w:right w:w="28" w:type="dxa"/>
        </w:tblCellMar>
      </w:tblPr>
      <w:tblGrid>
        <w:gridCol w:w="1951"/>
        <w:gridCol w:w="109"/>
        <w:gridCol w:w="406"/>
        <w:gridCol w:w="36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Jitendra Wadhane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53930</Words>
  <Characters>302785</Characters>
  <CharactersWithSpaces>356976</CharactersWithSpaces>
  <Paragraphs>4995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