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Pyxis Oncology,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GordonMD Global Investments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27,988,714.00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27,988,714.00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27,988,714.00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12,446,805 shares of Common Stock issuable upon exercise of warrants (the "Warrants"). As more fully described in Item 4, certain of the Warrants are subject to a 17.50% Blocker (the "17.50% Blocker"), and the percentage set forth in row (11) gives effect to such 17.50% Blocker. However, as more fully described in Item 4, the shares of Common Stock reported as being issuable upon exercise of Warrants in rows (6), (8) and (9) include the number of shares of Common Stock that would be issuable upon full exercise of the Warrants and does not give effect to such 17.50% Blocker. Therefore, the actual number of shares of Common Stock beneficially owned by such Reporting Person, after giving effect to such 17.50% Blocker, is less than the number of shares of Common Stock reported in rows (6), (8) and (9) to be issuable upon exercise of such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GordonMD Long Biased Master Fund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27,988,714.00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27,988,714.00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27,988,714.00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12,446,805 shares of Common Stock issuable upon exercise of Warrants. As more fully described in Item 4, certain of the Warrants are subject to the 17.50% Blocker, and the percentage set forth in row (11) gives effect to such 17.50% Blocker. However, as more fully described in Item 4, the shares of Common Stock reported as being issuable upon exercise of Warrants in rows (6), (8) and (9) include the number of shares of Common Stock that would be issuable upon full exercise of the Warrants and does not give effect to such 17.50% Blocker. Therefore, the actual number of shares of Common Stock beneficially owned by such Reporting Person, after giving effect to such 17.50% Blocker, is less than the number of shares of Common Stock reported in rows (6), (8) and (9) to be issuable upon exercise of such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GordonMD Long Biased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27,988,714.00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27,988,714.00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27,988,714.00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12,446,805 shares of Common Stock issuable upon exercise of Warrants. As more fully described in Item 4, certain of the Warrants are subject to the 17.50% Blocker, and the percentage set forth in row (11) gives effect to such 17.50% Blocker. However, as more fully described in Item 4, the shares of Common Stock reported as being issuable upon exercise of Warrants in rows (6), (8) and (9) include the number of shares of Common Stock that would be issuable upon full exercise of the Warrants and does not give effect to such 17.50% Blocker. Therefore, the actual number of shares of Common Stock beneficially owned by such Reporting Person, after giving effect to such 17.50% Blocker, is less than the number of shares of Common Stock reported in rows (6), (8) and (9) to be issuable upon exercise of such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Craig D. Gordon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27,988,714.00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27,988,714.00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27,988,714.00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12,446,805 shares of Common Stock issuable upon exercise of Warrants. As more fully described in Item 4, certain of the Warrants are subject to the 17.50% Blocker, and the percentage set forth in row (11) gives effect to such 17.50% Blocker. However, as more fully described in Item 4, the shares of Common Stock reported as being issuable upon exercise of Warrants in rows (6), (8) and (9) include the number of shares of Common Stock that would be issuable upon full exercise of the Warrants and does not give effect to such 17.50% Blocker. Therefore, the actual number of shares of Common Stock beneficially owned by such Reporting Person, after giving effect to such 17.50% Blocker, is less than the number of shares of Common Stock reported in rows (6), (8) and (9) to be issuable upon exercise of such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37"/>
        <w:gridCol w:w="8913"/>
        <w:gridCol w:w="155"/>
      </w:tblGrid>
      <w:tr>
        <w:trPr/>
        <w:tc>
          <w:tcPr>
            <w:tcW w:w="1137" w:type="dxa"/>
            <w:tcBorders/>
            <w:vAlign w:val="center"/>
          </w:tcPr>
          <w:p>
            <w:pPr>
              <w:pStyle w:val="TableContents"/>
              <w:bidi w:val="0"/>
              <w:spacing w:before="0" w:after="283"/>
              <w:jc w:val="left"/>
              <w:rPr/>
            </w:pPr>
            <w:r>
              <w:rPr/>
              <w:t>Item 1.</w:t>
            </w:r>
          </w:p>
        </w:tc>
        <w:tc>
          <w:tcPr>
            <w:tcW w:w="891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Name of issuer: </w:t>
            </w:r>
          </w:p>
          <w:p>
            <w:pPr>
              <w:pStyle w:val="TableContents"/>
              <w:bidi w:val="0"/>
              <w:spacing w:before="0" w:after="0"/>
              <w:jc w:val="left"/>
              <w:rPr/>
            </w:pPr>
            <w:r>
              <w:rPr/>
              <w:t>Pyxis Oncology, Inc.</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321 HARRISON AVENUE, BOSTON, MA, 02118</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2.</w:t>
            </w:r>
          </w:p>
        </w:tc>
        <w:tc>
          <w:tcPr>
            <w:tcW w:w="891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Name of person filing: </w:t>
            </w:r>
          </w:p>
          <w:p>
            <w:pPr>
              <w:pStyle w:val="TableContents"/>
              <w:bidi w:val="0"/>
              <w:spacing w:before="0" w:after="0"/>
              <w:jc w:val="left"/>
              <w:rPr/>
            </w:pPr>
            <w:r>
              <w:rPr/>
              <w:t>GordonMD Global Investments LP GordonMD Long Biased Master Fund LP GordonMD Long Biased GP LLC Craig D. Gordon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GordonMD Global Investments LP 9460 WILSHIRE BLVD, SUITE 420, BEVERLY HILLS, CA, 90212 GordonMD Long Biased Master Fund LP 9460 WILSHIRE BLVD, SUITE 420, BEVERLY HILLS, CA, 90212 GordonMD Long Biased GP LLC 9460 WILSHIRE BLVD, SUITE 420, BEVERLY HILLS, CA, 90212 Craig D. Gordon 9460 WILSHIRE BLVD, SUITE 420, BEVERLY HILLS, CA, 90212</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jc w:val="left"/>
              <w:rPr/>
            </w:pPr>
            <w:r>
              <w:rPr/>
              <w:t xml:space="preserve">Citizenship: </w:t>
            </w:r>
          </w:p>
          <w:p>
            <w:pPr>
              <w:pStyle w:val="TableContents"/>
              <w:bidi w:val="0"/>
              <w:spacing w:before="0" w:after="0"/>
              <w:jc w:val="left"/>
              <w:rPr/>
            </w:pPr>
            <w:r>
              <w:rPr/>
              <w:t>GordonMD Global Investments LP - Delaware GordonMD Long Biased Master Fund LP - Cayman Islands GordonMD Long Biased GP LLC - Delaware Craig D. Gordon - United States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3.</w:t>
            </w:r>
          </w:p>
        </w:tc>
        <w:tc>
          <w:tcPr>
            <w:tcW w:w="891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(f)</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(g)</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(h)</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(j)</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(k)</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9068" w:type="dxa"/>
            <w:gridSpan w:val="2"/>
            <w:tcBorders/>
            <w:vAlign w:val="center"/>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4.</w:t>
            </w:r>
          </w:p>
        </w:tc>
        <w:tc>
          <w:tcPr>
            <w:tcW w:w="891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GordonMD Global Investments LP - 27,988,714 GordonMD Long Biased Master Fund LP - 27,988,714 GordonMD Long Biased GP LLC - 27,988,714 Craig D. Gordon - 27,988,714 Notwithstanding anything herein to the contrary, certain of the Warrants reflected on the cover pages and set forth in this Item 4 are subject to a 17.50% Blocker whereby they are not exercisable to the extent that following such exercise, taking into account all other shares of Common Stock beneficially owned by the Reporting Persons, the Reporting Persons would beneficially own in excess of 17.50% of the Issuer's outstanding Common Stock, as calculated in a manner consistent with the provisions of Section 13(d) of the Act and the rules and regulations promulgated thereunder. Consequently, as of the date of the event which requires the filing of this statement, some of such Warrants referred to herein are not presently exercisable due to the 17.50% Blocker.</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GordonMD Global Investments LP - 17.5% GordonMD Long Biased Master Fund LP - 17.5% GordonMD Long Biased GP LLC - 17.5% Craig D. Gordon - 17.5%  %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GordonMD Global Investments LP - 0 GordonMD Long Biased Master Fund LP - 0 GordonMD Long Biased GP LLC - 0 Craig D. Gordon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GordonMD Global Investments LP - 27,988,714 GordonMD Long Biased Master Fund LP - 27,988,714 GordonMD Long Biased GP LLC - 27,988,714 Craig D. Gordon - 27,988,714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GordonMD Global Investments LP - 0 GordonMD Long Biased Master Fund LP - 0 GordonMD Long Biased GP LLC - 0 Craig D. Gordon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GordonMD Global Investments LP - 27,988,714 GordonMD Long Biased Master Fund LP - 27,988,714 GordonMD Long Biased GP LLC - 27,988,714 Craig D. Gordon - 27,988,714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5.</w:t>
            </w:r>
          </w:p>
        </w:tc>
        <w:tc>
          <w:tcPr>
            <w:tcW w:w="891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6.</w:t>
            </w:r>
          </w:p>
        </w:tc>
        <w:tc>
          <w:tcPr>
            <w:tcW w:w="891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securities reported in this Schedule 13G are directly owned by advisory clients of GordonMD Global Investments LP. None of those advisory clients, other than GordonMD Long Biased Master Fund LP may be deemed to beneficially own more than 5% of the Common Stock, $0.001 par value.</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7.</w:t>
            </w:r>
          </w:p>
        </w:tc>
        <w:tc>
          <w:tcPr>
            <w:tcW w:w="891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8.</w:t>
            </w:r>
          </w:p>
        </w:tc>
        <w:tc>
          <w:tcPr>
            <w:tcW w:w="891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9.</w:t>
            </w:r>
          </w:p>
        </w:tc>
        <w:tc>
          <w:tcPr>
            <w:tcW w:w="891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GordonMD Global Investments LP</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3"/>
        <w:gridCol w:w="4272"/>
      </w:tblGrid>
      <w:tr>
        <w:trPr/>
        <w:tc>
          <w:tcPr>
            <w:tcW w:w="59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GordonMD Global Investments GP LLC</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Craig D. Gordon, Managing Member of the General Partner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272" w:type="dxa"/>
            <w:tcBorders/>
            <w:vAlign w:val="center"/>
          </w:tcPr>
          <w:p>
            <w:pPr>
              <w:pStyle w:val="TableContents"/>
              <w:bidi w:val="0"/>
              <w:spacing w:before="0" w:after="283"/>
              <w:jc w:val="left"/>
              <w:rPr>
                <w:sz w:val="4"/>
                <w:szCs w:val="4"/>
              </w:rPr>
            </w:pPr>
            <w:r>
              <w:rPr>
                <w:sz w:val="4"/>
                <w:szCs w:val="4"/>
              </w:rPr>
            </w:r>
          </w:p>
        </w:tc>
      </w:tr>
    </w:tbl>
    <w:tbl>
      <w:tblPr>
        <w:tblW w:w="8678" w:type="dxa"/>
        <w:jc w:val="left"/>
        <w:tblInd w:w="0" w:type="dxa"/>
        <w:tblLayout w:type="fixed"/>
        <w:tblCellMar>
          <w:top w:w="28" w:type="dxa"/>
          <w:left w:w="28" w:type="dxa"/>
          <w:bottom w:w="28" w:type="dxa"/>
          <w:right w:w="28" w:type="dxa"/>
        </w:tblCellMar>
      </w:tblPr>
      <w:tblGrid>
        <w:gridCol w:w="4339"/>
        <w:gridCol w:w="4339"/>
      </w:tblGrid>
      <w:tr>
        <w:trPr/>
        <w:tc>
          <w:tcPr>
            <w:tcW w:w="4339" w:type="dxa"/>
            <w:tcBorders/>
            <w:vAlign w:val="center"/>
          </w:tcPr>
          <w:p>
            <w:pPr>
              <w:pStyle w:val="TableContents"/>
              <w:bidi w:val="0"/>
              <w:spacing w:before="0" w:after="0"/>
              <w:jc w:val="left"/>
              <w:rPr/>
            </w:pPr>
            <w:r>
              <w:rPr/>
              <w:t> </w:t>
            </w:r>
          </w:p>
          <w:tbl>
            <w:tblPr>
              <w:tblW w:w="4171" w:type="dxa"/>
              <w:jc w:val="left"/>
              <w:tblInd w:w="0" w:type="dxa"/>
              <w:tblLayout w:type="fixed"/>
              <w:tblCellMar>
                <w:top w:w="28" w:type="dxa"/>
                <w:left w:w="28" w:type="dxa"/>
                <w:bottom w:w="28" w:type="dxa"/>
                <w:right w:w="28" w:type="dxa"/>
              </w:tblCellMar>
            </w:tblPr>
            <w:tblGrid>
              <w:gridCol w:w="4171"/>
            </w:tblGrid>
            <w:tr>
              <w:trPr/>
              <w:tc>
                <w:tcPr>
                  <w:tcW w:w="4171" w:type="dxa"/>
                  <w:tcBorders/>
                  <w:vAlign w:val="center"/>
                </w:tcPr>
                <w:p>
                  <w:pPr>
                    <w:pStyle w:val="TableContents"/>
                    <w:bidi w:val="0"/>
                    <w:spacing w:before="0" w:after="0"/>
                    <w:jc w:val="left"/>
                    <w:rPr/>
                  </w:pPr>
                  <w:r>
                    <w:rPr/>
                    <w:t>GordonMD Long Biased Master Fund LP</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GordonMD Long Biased GP LLC</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Craig D. Gordon, Managing Member of the 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tbl>
      <w:tblPr>
        <w:tblW w:w="7154" w:type="dxa"/>
        <w:jc w:val="left"/>
        <w:tblInd w:w="0" w:type="dxa"/>
        <w:tblLayout w:type="fixed"/>
        <w:tblCellMar>
          <w:top w:w="28" w:type="dxa"/>
          <w:left w:w="28" w:type="dxa"/>
          <w:bottom w:w="28" w:type="dxa"/>
          <w:right w:w="28" w:type="dxa"/>
        </w:tblCellMar>
      </w:tblPr>
      <w:tblGrid>
        <w:gridCol w:w="3577"/>
        <w:gridCol w:w="3577"/>
      </w:tblGrid>
      <w:tr>
        <w:trPr/>
        <w:tc>
          <w:tcPr>
            <w:tcW w:w="3577" w:type="dxa"/>
            <w:tcBorders/>
            <w:vAlign w:val="center"/>
          </w:tcPr>
          <w:p>
            <w:pPr>
              <w:pStyle w:val="TableContents"/>
              <w:bidi w:val="0"/>
              <w:spacing w:before="0" w:after="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0"/>
                    <w:jc w:val="left"/>
                    <w:rPr/>
                  </w:pPr>
                  <w:r>
                    <w:rPr/>
                    <w:t>GordonMD Long Biased GP LLC</w:t>
                  </w:r>
                </w:p>
              </w:tc>
            </w:tr>
          </w:tbl>
          <w:p>
            <w:pPr>
              <w:pStyle w:val="TableContents"/>
              <w:bidi w:val="0"/>
              <w:spacing w:before="0" w:after="283"/>
              <w:jc w:val="left"/>
              <w:rPr/>
            </w:pPr>
            <w:r>
              <w:rPr/>
            </w:r>
          </w:p>
        </w:tc>
        <w:tc>
          <w:tcPr>
            <w:tcW w:w="35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6"/>
        <w:gridCol w:w="4399"/>
      </w:tblGrid>
      <w:tr>
        <w:trPr/>
        <w:tc>
          <w:tcPr>
            <w:tcW w:w="58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Craig D. Gordon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Craig D. Gordon, Managing Member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399"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Craig D. Gordon</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8"/>
        <w:gridCol w:w="4427"/>
      </w:tblGrid>
      <w:tr>
        <w:trPr/>
        <w:tc>
          <w:tcPr>
            <w:tcW w:w="57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Craig D. Gordon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Craig D. Gordon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10/02/2026</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Each Reporting Person disclaims beneficial ownership of the reported securities except 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tbl>
      <w:tblPr>
        <w:tblW w:w="7366" w:type="dxa"/>
        <w:jc w:val="left"/>
        <w:tblInd w:w="0" w:type="dxa"/>
        <w:tblLayout w:type="fixed"/>
        <w:tblCellMar>
          <w:top w:w="28" w:type="dxa"/>
          <w:left w:w="28" w:type="dxa"/>
          <w:bottom w:w="28" w:type="dxa"/>
          <w:right w:w="28" w:type="dxa"/>
        </w:tblCellMar>
      </w:tblPr>
      <w:tblGrid>
        <w:gridCol w:w="7366"/>
      </w:tblGrid>
      <w:tr>
        <w:trPr/>
        <w:tc>
          <w:tcPr>
            <w:tcW w:w="7366" w:type="dxa"/>
            <w:tcBorders/>
            <w:vAlign w:val="center"/>
          </w:tcPr>
          <w:p>
            <w:pPr>
              <w:pStyle w:val="TableContents"/>
              <w:bidi w:val="0"/>
              <w:spacing w:before="0" w:after="283"/>
              <w:jc w:val="center"/>
              <w:rPr>
                <w:b/>
              </w:rPr>
            </w:pPr>
            <w:r>
              <w:rPr>
                <w:b/>
              </w:rPr>
              <w:t xml:space="preserve">Exhibit Information </w:t>
            </w:r>
          </w:p>
        </w:tc>
      </w:tr>
      <w:tr>
        <w:trPr/>
        <w:tc>
          <w:tcPr>
            <w:tcW w:w="7366" w:type="dxa"/>
            <w:tcBorders/>
            <w:vAlign w:val="center"/>
          </w:tcPr>
          <w:p>
            <w:pPr>
              <w:pStyle w:val="TableContents"/>
              <w:bidi w:val="0"/>
              <w:spacing w:before="0" w:after="283"/>
              <w:jc w:val="left"/>
              <w:rPr/>
            </w:pPr>
            <w:r>
              <w:rPr/>
              <w:t>Exhibit A - Joint Filing Agreement Exhibit B - Control Person Identification</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28" w:name="p15104195_ex-a.htm"/>
      <w:bookmarkStart w:id="29" w:name="ksp15104195_exa"/>
      <w:bookmarkEnd w:id="28"/>
      <w:bookmarkEnd w:id="29"/>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dated October 2, 2026 relating to the Common Stock, par value $0.001 per share, of Pyxis Oncology, Inc. shall be filed on behalf of the undersigned.</w:t>
      </w:r>
    </w:p>
    <w:tbl>
      <w:tblPr>
        <w:tblW w:w="4550" w:type="dxa"/>
        <w:jc w:val="left"/>
        <w:tblInd w:w="0" w:type="dxa"/>
        <w:tblLayout w:type="fixed"/>
        <w:tblCellMar>
          <w:top w:w="0" w:type="dxa"/>
          <w:left w:w="0" w:type="dxa"/>
          <w:bottom w:w="0" w:type="dxa"/>
          <w:right w:w="0" w:type="dxa"/>
        </w:tblCellMar>
      </w:tblPr>
      <w:tblGrid>
        <w:gridCol w:w="75"/>
        <w:gridCol w:w="44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47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GORDONMD GLOBAL INVESTMENTS LP</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GordonMD Global Investments GP LLC</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Craig D. Gordon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Managing Member of the General Partner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955" w:type="dxa"/>
        <w:jc w:val="left"/>
        <w:tblInd w:w="0" w:type="dxa"/>
        <w:tblLayout w:type="fixed"/>
        <w:tblCellMar>
          <w:top w:w="0" w:type="dxa"/>
          <w:left w:w="0" w:type="dxa"/>
          <w:bottom w:w="0" w:type="dxa"/>
          <w:right w:w="0" w:type="dxa"/>
        </w:tblCellMar>
      </w:tblPr>
      <w:tblGrid>
        <w:gridCol w:w="75"/>
        <w:gridCol w:w="48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8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GORDONMD LONG BIASED MASTER FUND LP</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GordonMD Long Biased GP LLC</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Craig D. Gordon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Managing Member of the General Partner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75"/>
        <w:gridCol w:w="22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CRAIG D. GORDON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Craig D. Gordon</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3830" w:type="dxa"/>
        <w:jc w:val="left"/>
        <w:tblInd w:w="0" w:type="dxa"/>
        <w:tblLayout w:type="fixed"/>
        <w:tblCellMar>
          <w:top w:w="0" w:type="dxa"/>
          <w:left w:w="0" w:type="dxa"/>
          <w:bottom w:w="0" w:type="dxa"/>
          <w:right w:w="0" w:type="dxa"/>
        </w:tblCellMar>
      </w:tblPr>
      <w:tblGrid>
        <w:gridCol w:w="75"/>
        <w:gridCol w:w="37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GORDONMD LONG BIASED GP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Craig D. Gordon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Craig D. Gordon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37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Title: Managing Member </w:t>
            </w:r>
          </w:p>
        </w:tc>
      </w:tr>
    </w:tbl>
    <w:p>
      <w:pPr>
        <w:pStyle w:val="TextBody"/>
        <w:bidi w:val="0"/>
        <w:jc w:val="left"/>
        <w:rPr>
          <w:caps w:val="false"/>
          <w:smallCaps w:val="false"/>
        </w:rPr>
      </w:pPr>
      <w:r>
        <w:rPr>
          <w:caps w:val="false"/>
          <w:smallCaps w:val="false"/>
        </w:rPr>
        <w:t> </w:t>
      </w:r>
    </w:p>
    <w:p>
      <w:pPr>
        <w:pStyle w:val="TextBody"/>
        <w:bidi w:val="0"/>
        <w:spacing w:before="0" w:after="240"/>
        <w:jc w:val="right"/>
        <w:rPr>
          <w:rFonts w:ascii="Times New Roman;Times;Serif" w:hAnsi="Times New Roman;Times;Serif"/>
          <w:b w:val="false"/>
          <w:i w:val="false"/>
          <w:caps w:val="false"/>
          <w:smallCaps w:val="false"/>
          <w:sz w:val="22"/>
          <w:u w:val="single"/>
        </w:rPr>
      </w:pPr>
      <w:bookmarkStart w:id="30" w:name="p15104195_ex-b.htm"/>
      <w:bookmarkStart w:id="31" w:name="ksp15104195_exb"/>
      <w:bookmarkEnd w:id="30"/>
      <w:bookmarkEnd w:id="31"/>
      <w:r>
        <w:rPr>
          <w:rFonts w:ascii="Times New Roman;Times;Serif" w:hAnsi="Times New Roman;Times;Serif"/>
          <w:b w:val="false"/>
          <w:i w:val="false"/>
          <w:caps w:val="false"/>
          <w:smallCaps w:val="false"/>
          <w:sz w:val="22"/>
          <w:u w:val="single"/>
        </w:rPr>
        <w:t>Exhibit B</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GordonMD Global Investments LP is the relevant entity for which Craig D. Gordon may be considered a control person.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2553</Words>
  <Characters>12832</Characters>
  <CharactersWithSpaces>15317</CharactersWithSpaces>
  <Paragraphs>349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