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Pyxis Oncology,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001-40881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83-1160910</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321 Harrison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02118</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453-3596</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PYXS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2026, Pyxis Oncology, Inc. (the “Company”) entered into a securities purchase agreement (the “Securities Purchase Agreement”) for a private placement (the “Private Placement”) with certain institutional and accredited investors (each, a “Purchaser” and collectively, the “Purchasers”).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Securities Purchase Agreement, the Company agreed to issue and sell to the Purchasers an aggregate of (i) 19,600,153 shares (the “Shares”) of the Company’s common stock, par value $0.001 per share (the “Common Stock”), at a purchase price of $2.551 per share, and (ii) common warrants (the “Common Warrants”) to purchase up to an equal amount of shares of Common Stock (the “Common Warrant Shares”) at an exercise price of $3.289 per Common Warrant. The Common Warrants will be exercisable on or after the earlier of (i) the date on which the Company first publicly discloses clinical data from its micvotabart pelidotin (MICVO) Phase 1 monotherapy study in second line and beyond Recurrent / Metastatic Head and Neck Squamous Cell Carcinoma, or (ii) October 1, 2026, and the Common Warrants will expire on July 2, 2029.</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Wells Fargo Securities, LLC acted as the placement agent for the Private Placement. The Company has agreed to pay customary placement fees and reimburse certain expenses of the placement agent.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Private Placement is expected to close on July 2, 2026, subject to customary closing conditions. The Company anticipates the gross proceeds from the Private Placement to be approximately $50.0 million, before deducting placement agent fees and offering expenses, and an additional approximately $64.0 million of gross proceeds if the accompanying Common Warrants are exercised in full for cash.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upfront proceeds are expected to extend the Company’s cash runway into the second quarter of 2027 and support the continued advancement of its lead clinical program, MICVO (micvotabart pelidotin), through key clinical milestones.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Securities Purchase Agreement and the Common Warrants do not purport to be complete and are qualified in their entirety by reference to such agreements, copies of which are filed as Exhibits 10.1 and 4.1 hereto, respectively, and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July 2, 2026, the Company entered into a registration rights agreement (the “Registration Rights Agreement”) with the Purchasers, pursuant to which the Company agreed to register for resale the Shares and the Common Warrant Shares (the “Registrable Securities”). Under the Registration Rights Agreement, the Company has agreed to prepare and file a registration statement with the U.S. Securities and Exchange Commission (the “SEC”), covering the resale of the Registrable Securities by no later than October 2, 2026 (the “Filing Deadline”). The Company has also agreed to use commercially reasonable efforts to cause such registration statement to become effective as soon as practicable, but in any event no later than the earlier of (i) the fifth Business Day after the date on which the Company is notified, orally or in writing, whichever is earlier, by the SEC that the registration statement will not be “reviewed” or will not be subject to further review and (ii) the 75th calendar day following the initial filing date of the registration statement if the SEC notifies the Company that it will “review” the registration statement (the “Effectiveness Deadline”). The Company also agreed to use commercially reasonable efforts to keep such registration statement effective until the earlier of (i) the date on which all Registrable Securities covered by the registration statement have been sold or otherwise disposed of pursuant to the registration statement or in a transaction in which the transferee receives freely tradeable shares or (ii) the date on which the Registrable Securities no longer constitute “Registrable Securities” pursuant to the definition outlined in the Registration Rights Agreement. The Company has agreed to be responsible for all fees and expenses incurred in connection with the registration of the Registrable Securities. In addition, certain liquidated damages provisions will apply to the Company in the event of registration failures, as described in the Registration Rights Agreement.</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granted the Purchasers customary indemnification rights in connection with the registration statement. The Purchasers have also granted the Company customary indemnification rights in connection with the registration statement.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full text of the form of the Registration Rights Agreement, which is attached hereto as Exhibit 10.2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1336040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required by Form 8-K, the disclosures in Item 1.01 above are incorporated herein by reference. The securities to be issued and sold to the Purchasers under the Securities Purchase Agreement are not registered under the Securities Act of 1933, as amended (the “Securities Act”), and are being sold in reliance on the exemption from registration provided by Section 4(a)(2) of the Securities Act. The Company relied on this exemption from registration based in part on representations made by the Purchasers. The securities may not be offered or sold in the United States absent registration or an applicable exemption from registration requirements.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this Current Report on Form 8-K nor any exhibit attached hereto is an offer to sell or the solicitation of an offer to buy shares of common stock or other securities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2026, the Company issued a press release announcing the Private Placement. A copy of this press release is attached as Exhibit 99.1 to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including Exhibit 99.1, shall not be deemed “filed” for purposes of Section 18 of the Securities Exchange Act of 1934, as amended, or otherwise subject to the liabilities of that section, nor shall it be deemed incorporated by reference into any of the Company’s filing with the SEC made by the Company, regardless of any general incorporation language in such filings, except to the extent expressly set forth by reference in such filing.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39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7"/>
                <w:szCs w:val="17"/>
                <w:color w:val="auto"/>
              </w:rPr>
            </w:pPr>
          </w:p>
        </w:tc>
        <w:tc>
          <w:tcPr>
            <w:tcW w:w="19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Form of Common Warrant</w:t>
            </w:r>
          </w:p>
        </w:tc>
        <w:tc>
          <w:tcPr>
            <w:tcW w:w="20" w:type="dxa"/>
            <w:vAlign w:val="bottom"/>
            <w:tcBorders>
              <w:bottom w:val="single" w:sz="8" w:color="0000EE"/>
            </w:tcBorders>
          </w:tcPr>
          <w:p>
            <w:pPr>
              <w:spacing w:after="0"/>
              <w:rPr>
                <w:sz w:val="17"/>
                <w:szCs w:val="17"/>
                <w:color w:val="auto"/>
              </w:rPr>
            </w:pPr>
          </w:p>
        </w:tc>
        <w:tc>
          <w:tcPr>
            <w:tcW w:w="7640" w:type="dxa"/>
            <w:vAlign w:val="bottom"/>
            <w:gridSpan w:val="4"/>
          </w:tcPr>
          <w:p>
            <w:pPr>
              <w:spacing w:after="0"/>
              <w:rPr>
                <w:sz w:val="17"/>
                <w:szCs w:val="17"/>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7"/>
                <w:szCs w:val="17"/>
                <w:color w:val="auto"/>
              </w:rPr>
            </w:pPr>
          </w:p>
        </w:tc>
        <w:tc>
          <w:tcPr>
            <w:tcW w:w="96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Securities Purchase Agreement, dated June 30, 2026, by and among Pyxis Oncology, Inc. and each of the purchasers as party thereto</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7"/>
                <w:szCs w:val="17"/>
                <w:color w:val="auto"/>
              </w:rPr>
            </w:pPr>
          </w:p>
        </w:tc>
        <w:tc>
          <w:tcPr>
            <w:tcW w:w="28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Form of Registration Rights Agreement</w:t>
            </w:r>
          </w:p>
        </w:tc>
        <w:tc>
          <w:tcPr>
            <w:tcW w:w="6720" w:type="dxa"/>
            <w:vAlign w:val="bottom"/>
          </w:tcPr>
          <w:p>
            <w:pPr>
              <w:spacing w:after="0"/>
              <w:rPr>
                <w:sz w:val="17"/>
                <w:szCs w:val="17"/>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7"/>
                <w:szCs w:val="17"/>
                <w:color w:val="auto"/>
              </w:rPr>
            </w:pPr>
          </w:p>
        </w:tc>
        <w:tc>
          <w:tcPr>
            <w:tcW w:w="24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June 30, 2026</w:t>
            </w:r>
          </w:p>
        </w:tc>
        <w:tc>
          <w:tcPr>
            <w:tcW w:w="20" w:type="dxa"/>
            <w:vAlign w:val="bottom"/>
            <w:tcBorders>
              <w:bottom w:val="single" w:sz="8" w:color="0000EE"/>
            </w:tcBorders>
          </w:tcPr>
          <w:p>
            <w:pPr>
              <w:spacing w:after="0"/>
              <w:rPr>
                <w:sz w:val="17"/>
                <w:szCs w:val="17"/>
                <w:color w:val="auto"/>
              </w:rPr>
            </w:pPr>
          </w:p>
        </w:tc>
        <w:tc>
          <w:tcPr>
            <w:tcW w:w="7100" w:type="dxa"/>
            <w:vAlign w:val="bottom"/>
            <w:gridSpan w:val="2"/>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9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480" w:right="100" w:hanging="92"/>
        <w:spacing w:after="0" w:line="282" w:lineRule="auto"/>
        <w:rPr>
          <w:sz w:val="20"/>
          <w:szCs w:val="20"/>
          <w:color w:val="auto"/>
        </w:rPr>
      </w:pPr>
      <w:r>
        <w:rPr>
          <w:rFonts w:ascii="Times New Roman" w:cs="Times New Roman" w:eastAsia="Times New Roman" w:hAnsi="Times New Roman"/>
          <w:sz w:val="18"/>
          <w:szCs w:val="18"/>
          <w:color w:val="auto"/>
        </w:rPr>
        <w:t>*Certain schedules and exhibits have been omitted pursuant to Item 601(a)(5) of Regulation S-K. A copy of any omitted schedule and/or exhibit will be furnished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July 2, 2026</w:t>
      </w:r>
      <w:r>
        <w:rPr>
          <w:sz w:val="20"/>
          <w:szCs w:val="20"/>
          <w:color w:val="auto"/>
        </w:rPr>
        <w:tab/>
      </w:r>
      <w:r>
        <w:rPr>
          <w:rFonts w:ascii="Times New Roman" w:cs="Times New Roman" w:eastAsia="Times New Roman" w:hAnsi="Times New Roman"/>
          <w:sz w:val="18"/>
          <w:szCs w:val="18"/>
          <w:color w:val="auto"/>
        </w:rPr>
        <w:t>By:</w:t>
        <w:tab/>
        <w:t>/s/ Jitendra Wadhane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Jitendra Wadhane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 w:name="page5"/>
    <w:bookmarkEnd w:id="4"/>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00" w:lineRule="exact"/>
        <w:rPr>
          <w:sz w:val="20"/>
          <w:szCs w:val="20"/>
          <w:color w:val="auto"/>
        </w:rPr>
      </w:pP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THIS WARRANT AND THE SHARES OF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COMMON STOCK PURCHASE WARRANT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PYXIS ONCOLOGY, INC</w:t>
      </w:r>
      <w:r>
        <w:rPr>
          <w:rFonts w:ascii="Times New Roman" w:cs="Times New Roman" w:eastAsia="Times New Roman" w:hAnsi="Times New Roman"/>
          <w:sz w:val="19"/>
          <w:szCs w:val="19"/>
          <w:b w:val="1"/>
          <w:bCs w:val="1"/>
          <w:color w:val="auto"/>
        </w:rPr>
        <w:t>.</w:t>
      </w:r>
    </w:p>
    <w:p>
      <w:pPr>
        <w:spacing w:after="0" w:line="249"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8"/>
          <w:szCs w:val="18"/>
          <w:color w:val="auto"/>
        </w:rPr>
        <w:t>Number of Shares: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7"/>
          <w:szCs w:val="17"/>
          <w:color w:val="auto"/>
        </w:rPr>
        <w:t>(subject to adjustment)</w:t>
      </w:r>
    </w:p>
    <w:p>
      <w:pPr>
        <w:spacing w:after="0" w:line="23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Warrant No.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tab/>
        <w:t>Issue Date: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2026</w:t>
      </w:r>
    </w:p>
    <w:p>
      <w:pPr>
        <w:spacing w:after="0" w:line="22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Pyxis Oncology,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or its registered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subject to the terms set forth below, to purchase from the Company up to a total of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shares of common stock, $0.001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at an exercise price per share equal to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in each case as adjusted from 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upon surrender of this Warrant to Purchase Common Stock (including any Warrants to Purchase Common Stock issued in exchange, transfer or replacement hereof,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at any time and from time to time, on or after the earlier of (i) the date on which the Company first publicly discloses clinical data from its micvotabart pelidotin (MICVO) Phase 1 monotherapy study in 2L+ Recurrent/Metastatic Head and Neck Squamous Cell Carcinoma (R/M HNSCC) (the “Data Disclosure”) and (ii) October 1, 2026 (such earlier date,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June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2029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w:t>
      </w:r>
    </w:p>
    <w:p>
      <w:pPr>
        <w:spacing w:after="0" w:line="18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This Warrant is one of a series of similar warrants issued pursuant to that certain Securities Purchase Agreement, dated June [●], 2026, by and among the Company and the Investors identified therein, as amended and/or restated from time to time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4540" w:firstLine="757"/>
        <w:spacing w:after="0" w:line="286" w:lineRule="auto"/>
        <w:tabs>
          <w:tab w:leader="none" w:pos="116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For purposes of this Warrant, the following terms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meanings:</w:t>
      </w:r>
    </w:p>
    <w:p>
      <w:pPr>
        <w:spacing w:after="0" w:line="17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intermediates, controls, is controlled by or is under common control with such Person.</w:t>
      </w:r>
    </w:p>
    <w:p>
      <w:pPr>
        <w:spacing w:after="0" w:line="16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or any of its Affiliates or principals, (iii) any Person acting or who could be deemed to be acting as a Group together with the Holder or any Attribution Parties and (iv)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8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 and all of the rules and regulations promulgated thereunder.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shall have the meaning ascribed to it in Section 13(d) of the Exchange Act, and all related rules, regulations and jurisprudence.</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incorporated or unincorporated association, joint venture, government (or an agency or subdivision thereof) or any other entity or organization.</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Global Select Market.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 and all of the rules and regulations promulgated thereunder.</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Principal Trading Market with respect to the Common Stock that is in effect on the date of delivery of an applicable Exercise Notice, which as of the Original Issue Date was “T+1.”</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Broadridge Corporate Issuer Solutions, Inc., the Company’s transfer agent and registrar for the Common Stock, with a mailing address of 51 Mercedes Way, Edgewood, NY 11717, and any successor appointed in such capacity.</w:t>
      </w:r>
    </w:p>
    <w:p>
      <w:pPr>
        <w:spacing w:after="0" w:line="16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4" w:lineRule="exact"/>
        <w:rPr>
          <w:sz w:val="20"/>
          <w:szCs w:val="20"/>
          <w:color w:val="auto"/>
        </w:rPr>
      </w:pPr>
    </w:p>
    <w:p>
      <w:pPr>
        <w:ind w:left="1120" w:hanging="363"/>
        <w:spacing w:after="0"/>
        <w:tabs>
          <w:tab w:leader="none" w:pos="11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Issuance of Securities; Registration of Warrants</w:t>
      </w:r>
      <w:r>
        <w:rPr>
          <w:rFonts w:ascii="Times New Roman" w:cs="Times New Roman" w:eastAsia="Times New Roman" w:hAnsi="Times New Roman"/>
          <w:sz w:val="18"/>
          <w:szCs w:val="18"/>
          <w:color w:val="auto"/>
        </w:rPr>
        <w:t>. The Company shall register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ownership of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98" w:lineRule="exact"/>
        <w:rPr>
          <w:sz w:val="20"/>
          <w:szCs w:val="20"/>
          <w:color w:val="auto"/>
        </w:rPr>
      </w:pPr>
    </w:p>
    <w:p>
      <w:pPr>
        <w:jc w:val="both"/>
        <w:ind w:firstLine="851"/>
        <w:spacing w:after="0" w:line="254" w:lineRule="auto"/>
        <w:tabs>
          <w:tab w:leader="none" w:pos="120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Registration of Transfers</w:t>
      </w:r>
      <w:r>
        <w:rPr>
          <w:rFonts w:ascii="Times New Roman" w:cs="Times New Roman" w:eastAsia="Times New Roman" w:hAnsi="Times New Roman"/>
          <w:sz w:val="18"/>
          <w:szCs w:val="18"/>
          <w:color w:val="auto"/>
        </w:rPr>
        <w:t>. This Warrant and all rights hereunder (including, without limitation, any registration rights) are transferable,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8"/>
          <w:szCs w:val="18"/>
          <w:u w:val="single" w:color="auto"/>
          <w:color w:val="auto"/>
        </w:rPr>
        <w:t>New Warrant</w:t>
      </w:r>
      <w:r>
        <w:rPr>
          <w:rFonts w:ascii="Times New Roman" w:cs="Times New Roman" w:eastAsia="Times New Roman" w:hAnsi="Times New Roman"/>
          <w:sz w:val="18"/>
          <w:szCs w:val="18"/>
          <w:color w:val="auto"/>
        </w:rPr>
        <w:t>”)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that the Holder has in respect of this Warrant. The Company shall, or will cause its Transfer Agent to, prepare, issue and deliver at the Company’s own expense any New Warrant under this Section 3. Until due presentment for registration of transfer, the Company may treat the registered Holder hereof as the owner and holder for all purposes, and the Company shall not be affected by any notice to the contrary.</w:t>
      </w:r>
    </w:p>
    <w:p>
      <w:pPr>
        <w:spacing w:after="0" w:line="172" w:lineRule="exact"/>
        <w:rPr>
          <w:sz w:val="20"/>
          <w:szCs w:val="20"/>
          <w:color w:val="auto"/>
        </w:rPr>
      </w:pPr>
    </w:p>
    <w:p>
      <w:pPr>
        <w:ind w:left="1480" w:hanging="363"/>
        <w:spacing w:after="0"/>
        <w:tabs>
          <w:tab w:leader="none" w:pos="148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of Warrants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1505"/>
        <w:spacing w:after="0" w:line="282" w:lineRule="auto"/>
        <w:tabs>
          <w:tab w:leader="none" w:pos="2036"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this Warrant shall be exercisable by the registered Holder in any manner permitted by this Warrant (including Section 11) at any time and from time to time on or after the Initial Exercise Date and on or before the Termination Date.</w:t>
      </w:r>
    </w:p>
    <w:p>
      <w:pPr>
        <w:spacing w:after="0" w:line="161" w:lineRule="exact"/>
        <w:rPr>
          <w:rFonts w:ascii="Times New Roman" w:cs="Times New Roman" w:eastAsia="Times New Roman" w:hAnsi="Times New Roman"/>
          <w:sz w:val="18"/>
          <w:szCs w:val="18"/>
          <w:color w:val="auto"/>
        </w:rPr>
      </w:pPr>
    </w:p>
    <w:p>
      <w:pPr>
        <w:jc w:val="both"/>
        <w:ind w:firstLine="1505"/>
        <w:spacing w:after="0" w:line="253" w:lineRule="auto"/>
        <w:tabs>
          <w:tab w:leader="none" w:pos="2036"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may exercise this Warrant by delivering to the Company (i) an exercise notice, in the form attached as Exhibit A hereto (the “</w:t>
      </w:r>
      <w:r>
        <w:rPr>
          <w:rFonts w:ascii="Times New Roman" w:cs="Times New Roman" w:eastAsia="Times New Roman" w:hAnsi="Times New Roman"/>
          <w:sz w:val="18"/>
          <w:szCs w:val="18"/>
          <w:u w:val="single" w:color="auto"/>
          <w:color w:val="auto"/>
        </w:rPr>
        <w:t>Exercise Notice</w:t>
      </w:r>
      <w:r>
        <w:rPr>
          <w:rFonts w:ascii="Times New Roman" w:cs="Times New Roman" w:eastAsia="Times New Roman" w:hAnsi="Times New Roman"/>
          <w:sz w:val="18"/>
          <w:szCs w:val="18"/>
          <w:color w:val="auto"/>
        </w:rPr>
        <w:t>”), completed and duly signed, and (ii) payment of the Exercise Price for the number of Warrant Shares as to which this Warrant is being exercised (which may take the form of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so indicated in the Exercise Notice pursuant to Section 10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delivery by (or on behalf of) the Holder of the Exercise Notice and the applicable Exercise Price as provided above shall constitute the Holder’s certification to the Company that, in the case of an exercise for cash, its representations contained in Sections 4.1 and 4.3 through 4.14 of the Purchase Agreement are true and correct as of the Exercise Date as if remade in their entirety (or, in the case of any transferee Holder that is not a party to the Purchase Agreement or, in the case of a cashless exercise, its representations contained in Sections 4.1, 4.3 and 4.14 of the Purchase Agreement, such transferee Holder’s certification to the Company that such representations are true and correct as to such transferee Holder as of the Exercise Date). The Holder and the Company shall maintain records showing the number of Warrant Shares purchased and the date of such purchases. The Company shall deliver any objection to any Notice of Exercise within two (2) Trading Days of receipt of such notice.</w:t>
      </w:r>
    </w:p>
    <w:p>
      <w:pPr>
        <w:spacing w:after="0" w:line="187"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w:t>
      </w:r>
    </w:p>
    <w:p>
      <w:pPr>
        <w:spacing w:after="0" w:line="171" w:lineRule="exact"/>
        <w:rPr>
          <w:rFonts w:ascii="Times New Roman" w:cs="Times New Roman" w:eastAsia="Times New Roman" w:hAnsi="Times New Roman"/>
          <w:sz w:val="18"/>
          <w:szCs w:val="18"/>
          <w:color w:val="auto"/>
        </w:rPr>
      </w:pPr>
    </w:p>
    <w:p>
      <w:pPr>
        <w:ind w:left="1480" w:hanging="363"/>
        <w:spacing w:after="0"/>
        <w:tabs>
          <w:tab w:leader="none" w:pos="148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Delivery of Warrant Shares</w:t>
      </w:r>
      <w:r>
        <w:rPr>
          <w:rFonts w:ascii="Times New Roman" w:cs="Times New Roman" w:eastAsia="Times New Roman" w:hAnsi="Times New Roman"/>
          <w:sz w:val="18"/>
          <w:szCs w:val="18"/>
          <w:color w:val="auto"/>
        </w:rPr>
        <w:t>.</w:t>
      </w:r>
    </w:p>
    <w:p>
      <w:pPr>
        <w:spacing w:after="0" w:line="337" w:lineRule="exact"/>
        <w:rPr>
          <w:rFonts w:ascii="Times New Roman" w:cs="Times New Roman" w:eastAsia="Times New Roman" w:hAnsi="Times New Roman"/>
          <w:sz w:val="18"/>
          <w:szCs w:val="18"/>
          <w:b w:val="1"/>
          <w:bCs w:val="1"/>
          <w:color w:val="auto"/>
        </w:rPr>
      </w:pPr>
    </w:p>
    <w:p>
      <w:pPr>
        <w:jc w:val="both"/>
        <w:ind w:firstLine="1505"/>
        <w:spacing w:after="0" w:line="254" w:lineRule="auto"/>
        <w:tabs>
          <w:tab w:leader="none" w:pos="2036"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to (i) the Holder’s or its designee’s balance account with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through its Deposit Withdrawal At Custodian system or (ii) in book-entry form via a direct registration system (“</w:t>
      </w:r>
      <w:r>
        <w:rPr>
          <w:rFonts w:ascii="Times New Roman" w:cs="Times New Roman" w:eastAsia="Times New Roman" w:hAnsi="Times New Roman"/>
          <w:sz w:val="18"/>
          <w:szCs w:val="18"/>
          <w:u w:val="single" w:color="auto"/>
          <w:color w:val="auto"/>
        </w:rPr>
        <w:t>DRS</w:t>
      </w:r>
      <w:r>
        <w:rPr>
          <w:rFonts w:ascii="Times New Roman" w:cs="Times New Roman" w:eastAsia="Times New Roman" w:hAnsi="Times New Roman"/>
          <w:sz w:val="18"/>
          <w:szCs w:val="18"/>
          <w:color w:val="auto"/>
        </w:rPr>
        <w:t>”) maintained by or on behalf of the Transfer Agent, in each case, so long as either</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3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193" w:lineRule="exact"/>
        <w:rPr>
          <w:rFonts w:ascii="Times New Roman" w:cs="Times New Roman" w:eastAsia="Times New Roman" w:hAnsi="Times New Roman"/>
          <w:sz w:val="18"/>
          <w:szCs w:val="18"/>
          <w:color w:val="auto"/>
        </w:rPr>
      </w:pPr>
    </w:p>
    <w:p>
      <w:pPr>
        <w:jc w:val="both"/>
        <w:ind w:firstLine="1505"/>
        <w:spacing w:after="0" w:line="253" w:lineRule="auto"/>
        <w:tabs>
          <w:tab w:leader="none" w:pos="2036"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rights available to the Holder, if the Company fails to cause the Transfer Agent to deliver to the Holder or its designee Exercise Shares in the manner required pursuant to Section 5(a) within the Standard Settlement Period following the Exercise Date (other than a failure caused by incorrect or incomplete information provided by the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but did not receive within the Standard Settlement Period, then the Company shall, within two (2) Trading Days after the Holder’s request and in the Holder’s sole discretion, promptly honor its obligation to deliver to the Holder or its designee the Exercise Shares pursuant to Section 5(a) and pay cash to the Holder in an amount equal to the excess (if any) of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Date.The Holder shall provide the Company written notice promptly after the occurrence of a Buy-In, indicating the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payable to the Holder in respect of the Buy-In together with applicable confirmations and other evidence reasonably requested by the Company.</w:t>
      </w:r>
    </w:p>
    <w:p>
      <w:pPr>
        <w:spacing w:after="0" w:line="225" w:lineRule="exact"/>
        <w:rPr>
          <w:sz w:val="20"/>
          <w:szCs w:val="20"/>
          <w:color w:val="auto"/>
        </w:rPr>
      </w:pPr>
    </w:p>
    <w:p>
      <w:pPr>
        <w:jc w:val="both"/>
        <w:ind w:firstLine="1505"/>
        <w:spacing w:after="0" w:line="253" w:lineRule="auto"/>
        <w:tabs>
          <w:tab w:leader="none" w:pos="203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and subject to Section 5(b), the Company’s obligations to issue and deliver Warrant Shares in accordance with and subject to the terms hereof (including the limitations set forth in Section 11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5(a).</w:t>
      </w:r>
    </w:p>
    <w:p>
      <w:pPr>
        <w:spacing w:after="0" w:line="187" w:lineRule="exact"/>
        <w:rPr>
          <w:rFonts w:ascii="Times New Roman" w:cs="Times New Roman" w:eastAsia="Times New Roman" w:hAnsi="Times New Roman"/>
          <w:sz w:val="18"/>
          <w:szCs w:val="18"/>
          <w:color w:val="auto"/>
        </w:rPr>
      </w:pPr>
    </w:p>
    <w:p>
      <w:pPr>
        <w:jc w:val="both"/>
        <w:ind w:firstLine="757"/>
        <w:spacing w:after="0" w:line="257" w:lineRule="auto"/>
        <w:tabs>
          <w:tab w:leader="none" w:pos="101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 Taxes and Expenses</w:t>
      </w:r>
      <w:r>
        <w:rPr>
          <w:rFonts w:ascii="Times New Roman" w:cs="Times New Roman" w:eastAsia="Times New Roman" w:hAnsi="Times New Roman"/>
          <w:sz w:val="18"/>
          <w:szCs w:val="18"/>
          <w:color w:val="auto"/>
        </w:rPr>
        <w:t>. Issuance and delivery of Exercise Shares shall be made without charge to the Holder for any issue or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95" w:lineRule="exact"/>
        <w:rPr>
          <w:rFonts w:ascii="Times New Roman" w:cs="Times New Roman" w:eastAsia="Times New Roman" w:hAnsi="Times New Roman"/>
          <w:sz w:val="18"/>
          <w:szCs w:val="18"/>
          <w:b w:val="1"/>
          <w:bCs w:val="1"/>
          <w:color w:val="auto"/>
        </w:rPr>
      </w:pPr>
    </w:p>
    <w:p>
      <w:pPr>
        <w:jc w:val="both"/>
        <w:ind w:firstLine="757"/>
        <w:spacing w:after="0" w:line="259" w:lineRule="auto"/>
        <w:tabs>
          <w:tab w:leader="none" w:pos="101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pacing w:after="0" w:line="192" w:lineRule="exact"/>
        <w:rPr>
          <w:rFonts w:ascii="Times New Roman" w:cs="Times New Roman" w:eastAsia="Times New Roman" w:hAnsi="Times New Roman"/>
          <w:sz w:val="18"/>
          <w:szCs w:val="18"/>
          <w:b w:val="1"/>
          <w:bCs w:val="1"/>
          <w:color w:val="auto"/>
        </w:rPr>
      </w:pPr>
    </w:p>
    <w:p>
      <w:pPr>
        <w:jc w:val="both"/>
        <w:ind w:firstLine="757"/>
        <w:spacing w:after="0" w:line="254" w:lineRule="auto"/>
        <w:tabs>
          <w:tab w:leader="none" w:pos="101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 keep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Section 9).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185" w:lineRule="exact"/>
        <w:rPr>
          <w:rFonts w:ascii="Times New Roman" w:cs="Times New Roman" w:eastAsia="Times New Roman" w:hAnsi="Times New Roman"/>
          <w:sz w:val="18"/>
          <w:szCs w:val="18"/>
          <w:b w:val="1"/>
          <w:bCs w:val="1"/>
          <w:color w:val="auto"/>
        </w:rPr>
      </w:pPr>
    </w:p>
    <w:p>
      <w:pPr>
        <w:ind w:firstLine="757"/>
        <w:spacing w:after="0" w:line="286" w:lineRule="auto"/>
        <w:tabs>
          <w:tab w:leader="none" w:pos="101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Adjustments</w:t>
      </w:r>
      <w:r>
        <w:rPr>
          <w:rFonts w:ascii="Times New Roman" w:cs="Times New Roman" w:eastAsia="Times New Roman" w:hAnsi="Times New Roman"/>
          <w:sz w:val="18"/>
          <w:szCs w:val="18"/>
          <w:color w:val="auto"/>
        </w:rPr>
        <w:t>. The Exercise Price and number of Warrant Shares issuable upon exercise of this Warrant (the “</w:t>
      </w:r>
      <w:r>
        <w:rPr>
          <w:rFonts w:ascii="Times New Roman" w:cs="Times New Roman" w:eastAsia="Times New Roman" w:hAnsi="Times New Roman"/>
          <w:sz w:val="18"/>
          <w:szCs w:val="18"/>
          <w:u w:val="single" w:color="auto"/>
          <w:color w:val="auto"/>
        </w:rPr>
        <w:t>Number of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are subject to adjustment from time to time as set forth in this Section 9.</w:t>
      </w:r>
    </w:p>
    <w:p>
      <w:pPr>
        <w:spacing w:after="0" w:line="158" w:lineRule="exact"/>
        <w:rPr>
          <w:rFonts w:ascii="Times New Roman" w:cs="Times New Roman" w:eastAsia="Times New Roman" w:hAnsi="Times New Roman"/>
          <w:sz w:val="18"/>
          <w:szCs w:val="18"/>
          <w:b w:val="1"/>
          <w:bCs w:val="1"/>
          <w:color w:val="auto"/>
        </w:rPr>
      </w:pPr>
    </w:p>
    <w:p>
      <w:pPr>
        <w:jc w:val="both"/>
        <w:ind w:left="80" w:firstLine="1500"/>
        <w:spacing w:after="0" w:line="253" w:lineRule="auto"/>
        <w:tabs>
          <w:tab w:leader="none" w:pos="2042" w:val="left"/>
        </w:tabs>
        <w:numPr>
          <w:ilvl w:val="2"/>
          <w:numId w:val="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both"/>
        <w:ind w:left="-3" w:firstLine="1500"/>
        <w:spacing w:after="0" w:line="252" w:lineRule="auto"/>
        <w:tabs>
          <w:tab w:leader="none" w:pos="1959" w:val="left"/>
        </w:tabs>
        <w:numPr>
          <w:ilvl w:val="2"/>
          <w:numId w:val="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Section 9(a), any distribution of Purchase Rights (as defined below) subject to Section 9(c) and any Fundamental Transaction (as defined below) subject to Section 9(d))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4" w:lineRule="exact"/>
        <w:rPr>
          <w:rFonts w:ascii="Times New Roman" w:cs="Times New Roman" w:eastAsia="Times New Roman" w:hAnsi="Times New Roman"/>
          <w:sz w:val="18"/>
          <w:szCs w:val="18"/>
          <w:u w:val="single" w:color="auto"/>
          <w:color w:val="auto"/>
        </w:rPr>
      </w:pPr>
    </w:p>
    <w:p>
      <w:pPr>
        <w:jc w:val="both"/>
        <w:ind w:left="-3" w:firstLine="1425"/>
        <w:spacing w:after="0" w:line="252" w:lineRule="auto"/>
        <w:tabs>
          <w:tab w:leader="none" w:pos="1959" w:val="left"/>
        </w:tabs>
        <w:numPr>
          <w:ilvl w:val="1"/>
          <w:numId w:val="1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w:t>
      </w:r>
    </w:p>
    <w:p>
      <w:pPr>
        <w:spacing w:after="0" w:line="5" w:lineRule="exact"/>
        <w:rPr>
          <w:rFonts w:ascii="Times New Roman" w:cs="Times New Roman" w:eastAsia="Times New Roman" w:hAnsi="Times New Roman"/>
          <w:sz w:val="18"/>
          <w:szCs w:val="18"/>
          <w:u w:val="single" w:color="auto"/>
          <w:color w:val="auto"/>
        </w:rPr>
      </w:pPr>
    </w:p>
    <w:p>
      <w:pPr>
        <w:jc w:val="both"/>
        <w:ind w:left="-3" w:firstLine="3"/>
        <w:spacing w:after="0" w:line="251" w:lineRule="auto"/>
        <w:tabs>
          <w:tab w:leader="none" w:pos="2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Section 9(c),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spacing w:after="0" w:line="193" w:lineRule="exact"/>
        <w:rPr>
          <w:rFonts w:ascii="Times New Roman" w:cs="Times New Roman" w:eastAsia="Times New Roman" w:hAnsi="Times New Roman"/>
          <w:sz w:val="18"/>
          <w:szCs w:val="18"/>
          <w:color w:val="auto"/>
        </w:rPr>
      </w:pPr>
    </w:p>
    <w:p>
      <w:pPr>
        <w:jc w:val="both"/>
        <w:ind w:left="-3" w:firstLine="1425"/>
        <w:spacing w:after="0" w:line="252" w:lineRule="auto"/>
        <w:tabs>
          <w:tab w:leader="none" w:pos="1959" w:val="left"/>
        </w:tabs>
        <w:numPr>
          <w:ilvl w:val="1"/>
          <w:numId w:val="1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Section 9(a) above) (in any such case,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Sections 9(b) or 9(c) above) without regard to any limitations on exercise contained herein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The Company shall not effect any Fundamental Transaction in which the Company is not the surviving entity or the Alternate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463550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7"/>
          </w:cols>
          <w:pgMar w:left="403" w:top="1012" w:right="339" w:bottom="1440"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18"/>
          <w:szCs w:val="18"/>
          <w:color w:val="auto"/>
        </w:rPr>
        <w:t>includes securities of another Person unless (i) the Alternate Consideration is solely cash and the Company provides for the simultaneous “cashless exercise” of this Warrant pursuant to Section 10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 If the Company undertakes a Fundamental Transaction in which the Company is not the surviving entity and the Alternate Consideration includes securities of another Person, then the Company shall provide that, prior to or simultaneously with the consummation of such Fundamental Transaction, any successor to the Company, surviving entity or other Person (including any purchaser of assets of the Company) shall assume the obligation to deliver to the Holder such Alternate Consideration as the Holder is entitled to receive in accordance with the foregoing provisions, and to assume the other obligations under this Warrant. The provisions of this paragraph (d) shall similarly apply to subsequent transactions analogous to a Fundamental Transaction type.</w:t>
      </w:r>
    </w:p>
    <w:p>
      <w:pPr>
        <w:spacing w:after="0" w:line="194" w:lineRule="exact"/>
        <w:rPr>
          <w:sz w:val="20"/>
          <w:szCs w:val="20"/>
          <w:color w:val="auto"/>
        </w:rPr>
      </w:pPr>
    </w:p>
    <w:p>
      <w:pPr>
        <w:jc w:val="both"/>
        <w:ind w:left="20" w:firstLine="656"/>
        <w:spacing w:after="0" w:line="251" w:lineRule="auto"/>
        <w:rPr>
          <w:sz w:val="20"/>
          <w:szCs w:val="20"/>
          <w:color w:val="auto"/>
        </w:rPr>
      </w:pPr>
      <w:r>
        <w:rPr>
          <w:rFonts w:ascii="Times New Roman" w:cs="Times New Roman" w:eastAsia="Times New Roman" w:hAnsi="Times New Roman"/>
          <w:sz w:val="18"/>
          <w:szCs w:val="18"/>
          <w:color w:val="auto"/>
        </w:rPr>
        <w:t>Notwithstanding anything to the contrary, in the event of a Fundamental Transaction (other than (x) any stock split or reverse stock split, (y) any transaction effected solely for the purpose of changing the jurisdiction of incorporation of the Company, or (z) any holding company reorganization or parent-subsidiary merger not requiring stockholder approval pursuant to Sections 251(g) or 253 of the General Corporation Law of the State of Delaware (or any successor provisions thereof)),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(i) 100% and (ii) the 100 day volatility, each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Fundamental Transaction and (y) the last VWAP immediately prior to the consummation of such Fundamental Transaction,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five Trading Days of the Holder’s election (or, if later, on the effective date of the Fundamental Transaction). The terms of any agreement pursuant to which a Fundamental Transaction is effected shall include terms requiring any such successor or surviving entity to comply with the provisions of this Section 9(d) and ensuring that this Warrant (or any such replacement security) will be similarly adjusted upon any subsequent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9(d)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the Company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Notwithstanding the foregoing, and without limiting Section 11 hereof, the Holder may elect, at its sole option, by delivery of written notice to the Company to waive this Section 9(d) to permit a Fundamental Transaction without the assumption of this Warrant.</w:t>
      </w:r>
    </w:p>
    <w:p>
      <w:pPr>
        <w:spacing w:after="0" w:line="198" w:lineRule="exact"/>
        <w:rPr>
          <w:sz w:val="20"/>
          <w:szCs w:val="20"/>
          <w:color w:val="auto"/>
        </w:rPr>
      </w:pPr>
    </w:p>
    <w:p>
      <w:pPr>
        <w:jc w:val="both"/>
        <w:ind w:firstLine="1425"/>
        <w:spacing w:after="0" w:line="266" w:lineRule="auto"/>
        <w:tabs>
          <w:tab w:leader="none" w:pos="1962" w:val="left"/>
        </w:tabs>
        <w:numPr>
          <w:ilvl w:val="0"/>
          <w:numId w:val="1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Simultaneously with any adjustment to the Number of Warrant Shares pursuant to Section 9, the Exercise Price shall be increased or decreased proportionately, so that after such adjustment the aggregate Exercise Price payable hereunder for the increased or decreased Number of Warrant Shares shall be the same as the aggregate Exercise Price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453390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985" w:right="339" w:bottom="1440" w:gutter="0" w:footer="0" w:header="0"/>
        </w:sectPr>
      </w:pPr>
    </w:p>
    <w:bookmarkStart w:id="10" w:name="page11"/>
    <w:bookmarkEnd w:id="10"/>
    <w:p>
      <w:pPr>
        <w:ind w:left="80" w:right="20"/>
        <w:spacing w:after="0" w:line="282" w:lineRule="auto"/>
        <w:rPr>
          <w:sz w:val="20"/>
          <w:szCs w:val="20"/>
          <w:color w:val="auto"/>
        </w:rPr>
      </w:pPr>
      <w:r>
        <w:rPr>
          <w:rFonts w:ascii="Times New Roman" w:cs="Times New Roman" w:eastAsia="Times New Roman" w:hAnsi="Times New Roman"/>
          <w:sz w:val="18"/>
          <w:szCs w:val="18"/>
          <w:color w:val="auto"/>
        </w:rPr>
        <w:t>effect immediately prior to such adjustment. Notwithstanding the foregoing, in no event may the Exercise Price be adjusted below the par value of the Common Stock then in effect.</w:t>
      </w:r>
    </w:p>
    <w:p>
      <w:pPr>
        <w:spacing w:after="0" w:line="162" w:lineRule="exact"/>
        <w:rPr>
          <w:sz w:val="20"/>
          <w:szCs w:val="20"/>
          <w:color w:val="auto"/>
        </w:rPr>
      </w:pPr>
    </w:p>
    <w:p>
      <w:pPr>
        <w:ind w:left="2040" w:hanging="535"/>
        <w:spacing w:after="0"/>
        <w:tabs>
          <w:tab w:leader="none" w:pos="2040" w:val="left"/>
        </w:tabs>
        <w:numPr>
          <w:ilvl w:val="0"/>
          <w:numId w:val="1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9 shall be made to the nearest cent or the nearest 1/100th of a share, as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applicable.</w:t>
      </w:r>
    </w:p>
    <w:p>
      <w:pPr>
        <w:spacing w:after="0" w:line="207" w:lineRule="exact"/>
        <w:rPr>
          <w:sz w:val="20"/>
          <w:szCs w:val="20"/>
          <w:color w:val="auto"/>
        </w:rPr>
      </w:pPr>
    </w:p>
    <w:p>
      <w:pPr>
        <w:jc w:val="both"/>
        <w:ind w:left="80" w:firstLine="1425"/>
        <w:spacing w:after="0" w:line="256" w:lineRule="auto"/>
        <w:tabs>
          <w:tab w:leader="none" w:pos="2042" w:val="left"/>
        </w:tabs>
        <w:numPr>
          <w:ilvl w:val="1"/>
          <w:numId w:val="1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Upon the occurrence of each adjustment pursuant to this Section 9,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87" w:lineRule="exact"/>
        <w:rPr>
          <w:rFonts w:ascii="Times New Roman" w:cs="Times New Roman" w:eastAsia="Times New Roman" w:hAnsi="Times New Roman"/>
          <w:sz w:val="18"/>
          <w:szCs w:val="18"/>
          <w:u w:val="single" w:color="auto"/>
          <w:color w:val="auto"/>
        </w:rPr>
      </w:pPr>
    </w:p>
    <w:p>
      <w:pPr>
        <w:jc w:val="both"/>
        <w:ind w:left="80" w:firstLine="1425"/>
        <w:spacing w:after="0" w:line="253" w:lineRule="auto"/>
        <w:tabs>
          <w:tab w:leader="none" w:pos="2042" w:val="left"/>
        </w:tabs>
        <w:numPr>
          <w:ilvl w:val="1"/>
          <w:numId w:val="1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(10)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Section 9(d), other than a Fundamental Transaction under clause (iii) of Section 9(d), the Company shall deliver to the Holder a notice of such Fundamental Transaction at least thirty (30) days prior to the date such Fundamental Transaction is consummated. Holder agrees to maintain any information disclosed pursuant to this Section 9(h) in confidence until such information is publicly available, and shall comply with applicable law with respect to trading in the Company’s securities following receipt of any such information.</w:t>
      </w:r>
    </w:p>
    <w:p>
      <w:pPr>
        <w:spacing w:after="0" w:line="189" w:lineRule="exact"/>
        <w:rPr>
          <w:rFonts w:ascii="Times New Roman" w:cs="Times New Roman" w:eastAsia="Times New Roman" w:hAnsi="Times New Roman"/>
          <w:sz w:val="18"/>
          <w:szCs w:val="18"/>
          <w:u w:val="single" w:color="auto"/>
          <w:color w:val="auto"/>
        </w:rPr>
      </w:pPr>
    </w:p>
    <w:p>
      <w:pPr>
        <w:jc w:val="both"/>
        <w:ind w:left="80" w:firstLine="1425"/>
        <w:spacing w:after="0" w:line="266" w:lineRule="auto"/>
        <w:tabs>
          <w:tab w:leader="none" w:pos="2042" w:val="left"/>
        </w:tabs>
        <w:numPr>
          <w:ilvl w:val="1"/>
          <w:numId w:val="1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Subject to the rules and regulations of the Principal Trading Market, the Company may at any time during the term of this Warrant, reduce the then-current Exercise Price to any amount and for any period of time deemed appropriate by the board of directors of the Company.</w:t>
      </w:r>
    </w:p>
    <w:p>
      <w:pPr>
        <w:spacing w:after="0" w:line="171" w:lineRule="exact"/>
        <w:rPr>
          <w:rFonts w:ascii="Times New Roman" w:cs="Times New Roman" w:eastAsia="Times New Roman" w:hAnsi="Times New Roman"/>
          <w:sz w:val="18"/>
          <w:szCs w:val="18"/>
          <w:u w:val="single" w:color="auto"/>
          <w:color w:val="auto"/>
        </w:rPr>
      </w:pPr>
    </w:p>
    <w:p>
      <w:pPr>
        <w:jc w:val="both"/>
        <w:ind w:firstLine="368"/>
        <w:spacing w:after="0" w:line="268" w:lineRule="auto"/>
        <w:tabs>
          <w:tab w:leader="none" w:pos="77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Notwithstanding anything contained herein to the contrary, the Holder may, in its sole discretion, satisfy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pay the Exercise Price through a “cashless exercise”, in which event the Company shall issue to the Holder the number of Warrant Shares in an exchange of securities effected pursuant to Section 3(a)(9) of the Securities Act, determined as follows:</w:t>
      </w:r>
    </w:p>
    <w:p>
      <w:pPr>
        <w:spacing w:after="0" w:line="39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X = Y [(A-B)/A]</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where:</w:t>
      </w:r>
    </w:p>
    <w:p>
      <w:pPr>
        <w:spacing w:after="0" w:line="207" w:lineRule="exact"/>
        <w:rPr>
          <w:sz w:val="20"/>
          <w:szCs w:val="20"/>
          <w:color w:val="auto"/>
        </w:rPr>
      </w:pPr>
    </w:p>
    <w:p>
      <w:pPr>
        <w:ind w:left="2040" w:hanging="460"/>
        <w:spacing w:after="0"/>
        <w:tabs>
          <w:tab w:leader="none" w:pos="2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equals the number of Warrant Shares to be issued to the Holder;</w:t>
      </w:r>
    </w:p>
    <w:p>
      <w:pPr>
        <w:spacing w:after="0" w:line="225" w:lineRule="exact"/>
        <w:rPr>
          <w:rFonts w:ascii="Times New Roman" w:cs="Times New Roman" w:eastAsia="Times New Roman" w:hAnsi="Times New Roman"/>
          <w:sz w:val="18"/>
          <w:szCs w:val="18"/>
          <w:color w:val="auto"/>
        </w:rPr>
      </w:pPr>
    </w:p>
    <w:p>
      <w:pPr>
        <w:ind w:left="2040" w:hanging="460"/>
        <w:spacing w:after="0"/>
        <w:tabs>
          <w:tab w:leader="none" w:pos="2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equals the total number of Warrant Shares with respect to which this Warrant is then being exercised;</w:t>
      </w:r>
    </w:p>
    <w:p>
      <w:pPr>
        <w:spacing w:after="0" w:line="225" w:lineRule="exact"/>
        <w:rPr>
          <w:sz w:val="20"/>
          <w:szCs w:val="20"/>
          <w:color w:val="auto"/>
        </w:rPr>
      </w:pPr>
    </w:p>
    <w:p>
      <w:pPr>
        <w:ind w:left="840" w:firstLine="740"/>
        <w:spacing w:after="0" w:line="282" w:lineRule="auto"/>
        <w:tabs>
          <w:tab w:leader="none" w:pos="205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equals the Closing Sale Price of the shares of Common Stock (as reported by Bloomberg Financial Markets) as of the Trading Day on the date immediately preceding the Exercise Date; and</w:t>
      </w:r>
    </w:p>
    <w:p>
      <w:pPr>
        <w:spacing w:after="0" w:line="161" w:lineRule="exact"/>
        <w:rPr>
          <w:rFonts w:ascii="Times New Roman" w:cs="Times New Roman" w:eastAsia="Times New Roman" w:hAnsi="Times New Roman"/>
          <w:sz w:val="18"/>
          <w:szCs w:val="18"/>
          <w:color w:val="auto"/>
        </w:rPr>
      </w:pPr>
    </w:p>
    <w:p>
      <w:pPr>
        <w:ind w:left="2040" w:hanging="460"/>
        <w:spacing w:after="0"/>
        <w:tabs>
          <w:tab w:leader="none" w:pos="2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equals the Exercise Price then in effect for the applicable Warrant Shares at the time of such exercise.</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this Warrant may only be exercised through a cashless exercise, as set forth in this Section 10.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Section 5(b) (Buy-in Remedy) and Section 12 (No Fractional Shares), in no event will the exercise of this Warrant be settled in cash.</w:t>
      </w:r>
    </w:p>
    <w:p>
      <w:pPr>
        <w:spacing w:after="0" w:line="184" w:lineRule="exact"/>
        <w:rPr>
          <w:sz w:val="20"/>
          <w:szCs w:val="20"/>
          <w:color w:val="auto"/>
        </w:rPr>
      </w:pPr>
    </w:p>
    <w:p>
      <w:pPr>
        <w:ind w:left="1560" w:hanging="369"/>
        <w:spacing w:after="0"/>
        <w:tabs>
          <w:tab w:leader="none" w:pos="15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Limitations on Exercise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jc w:val="both"/>
        <w:ind w:firstLine="1580"/>
        <w:spacing w:after="0" w:line="249" w:lineRule="auto"/>
        <w:tabs>
          <w:tab w:leader="none" w:pos="19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w:t>
      </w:r>
      <w:r>
        <w:rPr>
          <w:rFonts w:ascii="Times New Roman" w:cs="Times New Roman" w:eastAsia="Times New Roman" w:hAnsi="Times New Roman"/>
          <w:sz w:val="24"/>
          <w:szCs w:val="24"/>
          <w:u w:val="single" w:color="auto"/>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Paragraph 11(a),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cs="Times New Roman" w:eastAsia="Times New Roman" w:hAnsi="Times New Roman"/>
          <w:sz w:val="18"/>
          <w:szCs w:val="18"/>
          <w:u w:val="single" w:color="auto"/>
          <w:color w:val="auto"/>
        </w:rPr>
        <w:t>Reported Outstanding Share Number</w:t>
      </w:r>
      <w:r>
        <w:rPr>
          <w:rFonts w:ascii="Times New Roman" w:cs="Times New Roman" w:eastAsia="Times New Roman" w:hAnsi="Times New Roman"/>
          <w:sz w:val="18"/>
          <w:szCs w:val="18"/>
          <w:color w:val="auto"/>
        </w:rPr>
        <w:t>”). For any reason at any time, 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Section 11(a),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u w:val="single" w:color="auto"/>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not in excess of 19.99% specified in such notice; provided that any increase in the Maximum Percentage will not be effective until the 61st day after such notice is delivered to the Company and shall not negatively affect any partial exercise effected prior to such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u w:val="single" w:color="auto"/>
          <w:color w:val="0000FF"/>
          <w:vertAlign w:val="superscript"/>
        </w:rPr>
        <w:t>[1]</w:t>
      </w:r>
      <w:r>
        <w:rPr>
          <w:rFonts w:ascii="Times New Roman" w:cs="Times New Roman" w:eastAsia="Times New Roman" w:hAnsi="Times New Roman"/>
          <w:sz w:val="18"/>
          <w:szCs w:val="18"/>
          <w:color w:val="auto"/>
        </w:rPr>
        <w:t>NTD: To be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1505"/>
        <w:spacing w:after="0" w:line="255" w:lineRule="auto"/>
        <w:tabs>
          <w:tab w:leader="none" w:pos="18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11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Section 9(d)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of the provisions of this paragraph with respect to any subsequent determination of exercisability. The provisions of this paragraph shall be construed and implemented in a manner otherwise than in strict conformity with the terms of this Section 11 to the extent necessary to correct this paragraph or any portion of this paragraph which may be defective or inconsistent with the intended beneficial ownership limitation contained in this Section 11 or to make changes or supplements necessary or desirable to properly give effect to such limitation. The limitation contained in this paragraph may not be waived and shall apply to a successor holder of this Warrant.</w:t>
      </w:r>
    </w:p>
    <w:p>
      <w:pPr>
        <w:spacing w:after="0" w:line="179" w:lineRule="exact"/>
        <w:rPr>
          <w:sz w:val="20"/>
          <w:szCs w:val="20"/>
          <w:color w:val="auto"/>
        </w:rPr>
      </w:pPr>
    </w:p>
    <w:p>
      <w:pPr>
        <w:jc w:val="both"/>
        <w:ind w:firstLine="823"/>
        <w:spacing w:after="0" w:line="268" w:lineRule="auto"/>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b w:val="1"/>
          <w:bCs w:val="1"/>
          <w:u w:val="single" w:color="auto"/>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400" w:lineRule="exact"/>
        <w:rPr>
          <w:sz w:val="20"/>
          <w:szCs w:val="20"/>
          <w:color w:val="auto"/>
        </w:rPr>
      </w:pPr>
    </w:p>
    <w:p>
      <w:pPr>
        <w:jc w:val="both"/>
        <w:ind w:left="80" w:firstLine="768"/>
        <w:spacing w:after="0" w:line="255" w:lineRule="auto"/>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shall be deemed given and effective on the earliest of (i) the date of transmission, if such notice or communication is delivered via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addresses and e-mail addresses for such communications shall be: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Pyxis Oncology, Inc.</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321 Harrison Avenue</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11th Floor, Suite 1</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Boston, MA 02118</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Attention: Thomas Civik</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2850 Quarry Lake Drive, Suite 280</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Baltimore, MD 21209</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Attention: Asher Rubin</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w:t>
      </w:r>
    </w:p>
    <w:p>
      <w:pPr>
        <w:spacing w:after="0" w:line="203" w:lineRule="exact"/>
        <w:rPr>
          <w:sz w:val="20"/>
          <w:szCs w:val="20"/>
          <w:color w:val="auto"/>
        </w:rPr>
      </w:pPr>
    </w:p>
    <w:p>
      <w:pPr>
        <w:jc w:val="both"/>
        <w:ind w:left="80"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b w:val="1"/>
          <w:bCs w:val="1"/>
          <w:u w:val="single" w:color="auto"/>
          <w:color w:val="auto"/>
        </w:rPr>
        <w:t>Warrant Agent</w:t>
      </w:r>
      <w:r>
        <w:rPr>
          <w:rFonts w:ascii="Times New Roman" w:cs="Times New Roman" w:eastAsia="Times New Roman" w:hAnsi="Times New Roman"/>
          <w:sz w:val="18"/>
          <w:szCs w:val="18"/>
          <w:color w:val="auto"/>
        </w:rPr>
        <w:t>. The Company shall initially serve as warrant agent under this Warrant. Upon 30 days’ notice to the Holder,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80" w:firstLine="1500"/>
        <w:spacing w:after="0" w:line="254" w:lineRule="auto"/>
        <w:tabs>
          <w:tab w:leader="none" w:pos="2042" w:val="left"/>
        </w:tabs>
        <w:numPr>
          <w:ilvl w:val="0"/>
          <w:numId w:val="2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3" w:name="page14"/>
    <w:bookmarkEnd w:id="13"/>
    <w:p>
      <w:pPr>
        <w:jc w:val="both"/>
        <w:ind w:firstLine="1500"/>
        <w:spacing w:after="0" w:line="253" w:lineRule="auto"/>
        <w:tabs>
          <w:tab w:leader="none" w:pos="1962"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the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9" w:lineRule="exact"/>
        <w:rPr>
          <w:rFonts w:ascii="Times New Roman" w:cs="Times New Roman" w:eastAsia="Times New Roman" w:hAnsi="Times New Roman"/>
          <w:sz w:val="18"/>
          <w:szCs w:val="18"/>
          <w:u w:val="single" w:color="auto"/>
          <w:color w:val="auto"/>
        </w:rPr>
      </w:pPr>
    </w:p>
    <w:p>
      <w:pPr>
        <w:jc w:val="both"/>
        <w:ind w:firstLine="1500"/>
        <w:spacing w:after="0" w:line="256" w:lineRule="auto"/>
        <w:tabs>
          <w:tab w:leader="none" w:pos="1962"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173" w:lineRule="exact"/>
        <w:rPr>
          <w:rFonts w:ascii="Times New Roman" w:cs="Times New Roman" w:eastAsia="Times New Roman" w:hAnsi="Times New Roman"/>
          <w:sz w:val="18"/>
          <w:szCs w:val="18"/>
          <w:u w:val="single" w:color="auto"/>
          <w:color w:val="auto"/>
        </w:rPr>
      </w:pPr>
    </w:p>
    <w:p>
      <w:pPr>
        <w:jc w:val="both"/>
        <w:ind w:right="20" w:firstLine="1500"/>
        <w:spacing w:after="0" w:line="266" w:lineRule="auto"/>
        <w:tabs>
          <w:tab w:leader="none" w:pos="1962"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may be amended and the Company may take any action herein prohibited, or omit to perform any act herein required to be performed by it, only if the Company has obtained the written consent of the Holder.</w:t>
      </w:r>
    </w:p>
    <w:p>
      <w:pPr>
        <w:spacing w:after="0" w:line="175" w:lineRule="exact"/>
        <w:rPr>
          <w:rFonts w:ascii="Times New Roman" w:cs="Times New Roman" w:eastAsia="Times New Roman" w:hAnsi="Times New Roman"/>
          <w:sz w:val="18"/>
          <w:szCs w:val="18"/>
          <w:u w:val="single" w:color="auto"/>
          <w:color w:val="auto"/>
        </w:rPr>
      </w:pPr>
    </w:p>
    <w:p>
      <w:pPr>
        <w:ind w:right="20" w:firstLine="1500"/>
        <w:spacing w:after="0" w:line="282" w:lineRule="auto"/>
        <w:tabs>
          <w:tab w:leader="none" w:pos="1962"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148" w:lineRule="exact"/>
        <w:rPr>
          <w:rFonts w:ascii="Times New Roman" w:cs="Times New Roman" w:eastAsia="Times New Roman" w:hAnsi="Times New Roman"/>
          <w:sz w:val="18"/>
          <w:szCs w:val="18"/>
          <w:u w:val="single" w:color="auto"/>
          <w:color w:val="auto"/>
        </w:rPr>
      </w:pPr>
    </w:p>
    <w:p>
      <w:pPr>
        <w:jc w:val="both"/>
        <w:ind w:firstLine="1500"/>
        <w:spacing w:after="0" w:line="252" w:lineRule="auto"/>
        <w:tabs>
          <w:tab w:leader="none" w:pos="1962"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95" w:lineRule="exact"/>
        <w:rPr>
          <w:rFonts w:ascii="Times New Roman" w:cs="Times New Roman" w:eastAsia="Times New Roman" w:hAnsi="Times New Roman"/>
          <w:sz w:val="18"/>
          <w:szCs w:val="18"/>
          <w:u w:val="single" w:color="auto"/>
          <w:color w:val="auto"/>
        </w:rPr>
      </w:pPr>
    </w:p>
    <w:p>
      <w:pPr>
        <w:ind w:firstLine="1500"/>
        <w:spacing w:after="0" w:line="282" w:lineRule="auto"/>
        <w:tabs>
          <w:tab w:leader="none" w:pos="1962"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u w:val="single" w:color="auto"/>
          <w:color w:val="auto"/>
        </w:rPr>
      </w:pPr>
    </w:p>
    <w:p>
      <w:pPr>
        <w:jc w:val="both"/>
        <w:ind w:left="20" w:firstLine="1500"/>
        <w:spacing w:after="0" w:line="261" w:lineRule="auto"/>
        <w:tabs>
          <w:tab w:leader="none" w:pos="199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898525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985" w:right="339" w:bottom="1440" w:gutter="0" w:footer="0" w:header="0"/>
        </w:sectPr>
      </w:pPr>
    </w:p>
    <w:bookmarkStart w:id="14" w:name="page15"/>
    <w:bookmarkEnd w:id="14"/>
    <w:p>
      <w:pPr>
        <w:ind w:left="760"/>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be duly executed by its authorized officer as of the date first indicated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5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3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Title :</w:t>
      </w:r>
    </w:p>
    <w:p>
      <w:pPr>
        <w:spacing w:after="0" w:line="37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6382385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1" w:right="35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firstLine="8"/>
        <w:spacing w:after="0" w:line="282"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__ (the “Warrant”) issued by Pyxis Oncology, Inc., a Delawarecorporation (the “Company”). Capitalized terms used herein and not otherwise defined herein have the respective meanings set forth in the Warrant.</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_____ Warrant Shares pursuant to the Warrant.</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238" w:lineRule="exact"/>
        <w:rPr>
          <w:rFonts w:ascii="Times New Roman" w:cs="Times New Roman" w:eastAsia="Times New Roman" w:hAnsi="Times New Roman"/>
          <w:sz w:val="18"/>
          <w:szCs w:val="18"/>
          <w:color w:val="auto"/>
        </w:rPr>
      </w:pPr>
    </w:p>
    <w:p>
      <w:pPr>
        <w:ind w:left="1580" w:hanging="776"/>
        <w:spacing w:after="0"/>
        <w:tabs>
          <w:tab w:leader="none" w:pos="1580" w:val="left"/>
        </w:tabs>
        <w:numPr>
          <w:ilvl w:val="1"/>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346" w:lineRule="exact"/>
        <w:rPr>
          <w:rFonts w:ascii="MS PGothic" w:cs="MS PGothic" w:eastAsia="MS PGothic" w:hAnsi="MS PGothic"/>
          <w:sz w:val="18"/>
          <w:szCs w:val="18"/>
          <w:color w:val="auto"/>
        </w:rPr>
      </w:pPr>
    </w:p>
    <w:p>
      <w:pPr>
        <w:ind w:left="1660" w:hanging="829"/>
        <w:spacing w:after="0"/>
        <w:tabs>
          <w:tab w:leader="none" w:pos="1660" w:val="left"/>
        </w:tabs>
        <w:numPr>
          <w:ilvl w:val="2"/>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“Cashless Exercise” under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Warrant</w:t>
      </w:r>
    </w:p>
    <w:p>
      <w:pPr>
        <w:spacing w:after="0" w:line="117" w:lineRule="exact"/>
        <w:rPr>
          <w:rFonts w:ascii="MS PGothic" w:cs="MS PGothic" w:eastAsia="MS PGothic" w:hAnsi="MS PGothic"/>
          <w:sz w:val="18"/>
          <w:szCs w:val="18"/>
          <w:color w:val="auto"/>
        </w:rPr>
      </w:pPr>
    </w:p>
    <w:p>
      <w:pPr>
        <w:ind w:right="120" w:firstLine="8"/>
        <w:spacing w:after="0" w:line="282"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 _____ in immediately available funds to the Company in accordance with the terms of the Warrant.</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Exercise Notice, the undersigned represents and warrants to the Company that in giving effect to the exercise evidenced hereby</w:t>
      </w:r>
    </w:p>
    <w:p>
      <w:pPr>
        <w:spacing w:after="0" w:line="27" w:lineRule="exact"/>
        <w:rPr>
          <w:rFonts w:ascii="Times New Roman" w:cs="Times New Roman" w:eastAsia="Times New Roman" w:hAnsi="Times New Roman"/>
          <w:sz w:val="18"/>
          <w:szCs w:val="18"/>
          <w:color w:val="auto"/>
        </w:rPr>
      </w:pPr>
    </w:p>
    <w:p>
      <w:pPr>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Holder is an “accredited investor” as defined in Regulation D promulgated under the Securities Act of 1933, as amended and (ii) the Holder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Warrant to which this notice relates.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1461770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b w:val="1"/>
          <w:bCs w:val="1"/>
          <w:color w:val="auto"/>
        </w:rPr>
        <w:t>SECURITIES PURCHASE AGREEMENT</w:t>
      </w:r>
    </w:p>
    <w:p>
      <w:pPr>
        <w:spacing w:after="0" w:line="20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0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PYXIS ONCOLOGY, INC.,</w:t>
      </w:r>
    </w:p>
    <w:p>
      <w:pPr>
        <w:spacing w:after="0" w:line="20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THE PURCHASERS</w:t>
      </w:r>
    </w:p>
    <w:p>
      <w:pPr>
        <w:spacing w:after="0" w:line="20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b w:val="1"/>
          <w:bCs w:val="1"/>
          <w:color w:val="auto"/>
        </w:rPr>
        <w:t>AS SET FORTH HEREIN</w:t>
      </w:r>
    </w:p>
    <w:p>
      <w:pPr>
        <w:spacing w:after="0" w:line="20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4098290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824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60" w:type="dxa"/>
            <w:vAlign w:val="bottom"/>
          </w:tcPr>
          <w:p>
            <w:pPr>
              <w:spacing w:after="0"/>
              <w:rPr>
                <w:sz w:val="20"/>
                <w:szCs w:val="20"/>
                <w:color w:val="auto"/>
              </w:rPr>
            </w:pPr>
          </w:p>
        </w:tc>
      </w:tr>
      <w:tr>
        <w:trPr>
          <w:trHeight w:val="648"/>
        </w:trPr>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and Sale of Securities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2.1</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and Sale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2.2</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Closing</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4"/>
        </w:trPr>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 of the Company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3.1</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Organization and Power</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3.2</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3.3</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Registration Rights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3.4</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3.5</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Valid Issuance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3.6</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Conflict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3.7</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3.8</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3.9</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Absence of Changes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3.10</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Absence of Litigation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3.11</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Law; Permits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3.12</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Intellectual Property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3.13</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3.14</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3.15</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Laws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3.16</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Title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3.17</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3.18</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Nasdaq Stock Market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3.19</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Sarbanes-Oxley Act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3.20</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Data and Regulatory Compliance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3.21</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Health Care Laws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3.22</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Accounting Controls and Disclosure Controls and Procedures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3.23</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Price Stabilization of Common Stock</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3.24</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Company Act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3.25</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Solicitation; No Integration or Aggregation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3.26</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Brokers and Finders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3.27</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Reliance by the Purchasers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3.28</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Disqualification Events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3.29</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Additional Agreements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3.30</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Anti-Bribery and Anti-Money Laundering Laws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3.31</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Cybersecurity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3.32</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Data Privacy Laws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3.33</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Transactions with Affiliates and Employees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3.34</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Reliance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3.35</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Acknowledgment Regarding Purchaser’s Trading Activity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3.36</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Fiduciary Duty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 of Each Purchaser</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4.1</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Organization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4.2</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4.3</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Conflicts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4.4</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Residency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4.5</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Brokers and Finders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4.6</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Representations and Warranties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4.7</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4.8</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Experience; Ability to Protect Its Own Interests and Bear Economic Risks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4.9</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Investment Decision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4.10</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Not Registered; Legends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4.11</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Placement Agent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4.12</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General Solicitation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4.13</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Access to Information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4.14</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Trading Activities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763"/>
        </w:trPr>
        <w:tc>
          <w:tcPr>
            <w:tcW w:w="94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tbl>
      <w:tblPr>
        <w:tblLayout w:type="fixed"/>
        <w:tblInd w:w="440" w:type="dxa"/>
        <w:tblCellMar>
          <w:top w:w="0" w:type="dxa"/>
          <w:left w:w="0" w:type="dxa"/>
          <w:bottom w:w="0" w:type="dxa"/>
          <w:right w:w="0" w:type="dxa"/>
        </w:tblCellMar>
      </w:tblPr>
      <w:tr>
        <w:trPr>
          <w:trHeight w:val="234"/>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4.15</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Disqualification Event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14"/>
        </w:trPr>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Covenants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5.1</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Listing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5.2</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Disclosure of Transactions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5.3</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Integration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5.4</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5.5</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Removal of Legends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5.6</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Withholding Taxes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5.7</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Fees and Taxes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5.8</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Conflicting Agreements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5.9</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Reporting Status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5.10</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Indemnification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5.11</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Subsequent Equity Sales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5.12</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Equal Treatment of Purchasers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4"/>
        </w:trPr>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of Closing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6.1</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to the Obligation of the Purchasers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6.2</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to the Obligation of the Company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4"/>
        </w:trPr>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7.1</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7.2</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 Provisions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8.1</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Statements or Releases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8.2</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Interpretation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8.3</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8.4</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8.5</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Submission to Jurisdiction; Venue; Waiver of Trial by Jury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8.6</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8.7</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8.8</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Assignment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8.9</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Confidential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8.10</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Concerning the Placement Agent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8.11</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Parties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8.12</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Nature of Purchasers’ Obligations and Right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8.13</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8.14</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Entire Agreement; Amendments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8.15</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Survival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8.16</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Mutual Drafting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8.17</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8.18</w:t>
            </w: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Further Assurances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Purchasers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Form of Common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 Form of Registration Rights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 – Procedures for Exempt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as of June 30, 2026, by and among Pyxis Oncology,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each of the entities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to this Agreement (each, a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Purchasers are executing and delivering this Agreement in reliance upon the exemption from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afforded by Section 4(a)(2)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sell to the Purchasers, and each Purchaser desires to purchase from the Company, severally and not jointly,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terms and subject to the conditions stated in this Agreement, (A)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(B) the warrants to purchase Common Stock (the “</w:t>
      </w:r>
      <w:r>
        <w:rPr>
          <w:rFonts w:ascii="Times New Roman" w:cs="Times New Roman" w:eastAsia="Times New Roman" w:hAnsi="Times New Roman"/>
          <w:sz w:val="18"/>
          <w:szCs w:val="18"/>
          <w:b w:val="1"/>
          <w:bCs w:val="1"/>
          <w:color w:val="auto"/>
        </w:rPr>
        <w:t>Common Warrants</w:t>
      </w:r>
      <w:r>
        <w:rPr>
          <w:rFonts w:ascii="Times New Roman" w:cs="Times New Roman" w:eastAsia="Times New Roman" w:hAnsi="Times New Roman"/>
          <w:sz w:val="18"/>
          <w:szCs w:val="18"/>
          <w:color w:val="auto"/>
        </w:rPr>
        <w:t>,” and together with the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contemporaneously with the sale of the Shares and the Common Warrants, the parties hereto will execute and deliver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Rights Agreement,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pursuant to which the Company will agree to provide certain registration rights in respect of the Shares and the Common Warrant Shares (as defined below) under the Securities Act and applicable state securities laws.</w:t>
      </w:r>
    </w:p>
    <w:p>
      <w:pPr>
        <w:spacing w:after="0" w:line="171"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agreements, representations, warranties and covenants herein contained,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Purchaser, severally and not jointly, agree as follows:</w:t>
      </w:r>
    </w:p>
    <w:p>
      <w:pPr>
        <w:spacing w:after="0" w:line="159" w:lineRule="exact"/>
        <w:rPr>
          <w:sz w:val="20"/>
          <w:szCs w:val="20"/>
          <w:color w:val="auto"/>
        </w:rPr>
      </w:pPr>
    </w:p>
    <w:p>
      <w:pPr>
        <w:ind w:left="1120" w:hanging="363"/>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following respective meanings:</w:t>
      </w:r>
    </w:p>
    <w:p>
      <w:pPr>
        <w:spacing w:after="0" w:line="221"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2025 SEC Reports</w:t>
      </w:r>
      <w:r>
        <w:rPr>
          <w:rFonts w:ascii="Times New Roman" w:cs="Times New Roman" w:eastAsia="Times New Roman" w:hAnsi="Times New Roman"/>
          <w:sz w:val="18"/>
          <w:szCs w:val="18"/>
          <w:color w:val="auto"/>
        </w:rPr>
        <w:t>” shall mean (a) the Company’s Annual Report on Form 10-K for the fiscal year ended December 31, 2025, and (b) any Quarterly Reports on Form 10-Q or any Current Reports on Form 8-K filed or furnished (as applicable) by the Company with the SEC after December 31, 2025 and prior to the Business Day immediately preceding the date hereof, together in each case with any documents incorporated by reference therein or exhibits thereto.</w:t>
      </w:r>
    </w:p>
    <w:p>
      <w:pPr>
        <w:spacing w:after="0" w:line="176"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with respect to any Person, any other Person that, directly or indirectly through one or more intermediates, controls, is controlled by or is under common control with such Person.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Certificate of Incorporation</w:t>
      </w:r>
      <w:r>
        <w:rPr>
          <w:rFonts w:ascii="Times New Roman" w:cs="Times New Roman" w:eastAsia="Times New Roman" w:hAnsi="Times New Roman"/>
          <w:sz w:val="18"/>
          <w:szCs w:val="18"/>
          <w:color w:val="auto"/>
        </w:rPr>
        <w:t>” shall mean the Certificate of Incorporation of the Company, as currently in effect.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Bylaws</w:t>
      </w:r>
      <w:r>
        <w:rPr>
          <w:rFonts w:ascii="Times New Roman" w:cs="Times New Roman" w:eastAsia="Times New Roman" w:hAnsi="Times New Roman"/>
          <w:sz w:val="18"/>
          <w:szCs w:val="18"/>
          <w:color w:val="auto"/>
        </w:rPr>
        <w:t>” shall mean the Bylaws of the Company, as currently in effect.</w:t>
      </w:r>
    </w:p>
    <w:p>
      <w:pPr>
        <w:spacing w:after="0" w:line="22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Benefit Plans</w:t>
      </w:r>
      <w:r>
        <w:rPr>
          <w:rFonts w:ascii="Times New Roman" w:cs="Times New Roman" w:eastAsia="Times New Roman" w:hAnsi="Times New Roman"/>
          <w:sz w:val="18"/>
          <w:szCs w:val="18"/>
          <w:color w:val="auto"/>
        </w:rPr>
        <w:t>” shall mean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5.5(d)</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mean the date on which the Closing occurs.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securities of the Company which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Warrants</w:t>
      </w:r>
      <w:r>
        <w:rPr>
          <w:rFonts w:ascii="Times New Roman" w:cs="Times New Roman" w:eastAsia="Times New Roman" w:hAnsi="Times New Roman"/>
          <w:sz w:val="18"/>
          <w:szCs w:val="18"/>
          <w:color w:val="auto"/>
        </w:rPr>
        <w:t>” has the meaning set forth in the recitals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Warrant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Data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Drug Regulatory Agency</w:t>
      </w:r>
      <w:r>
        <w:rPr>
          <w:rFonts w:ascii="Times New Roman" w:cs="Times New Roman" w:eastAsia="Times New Roman" w:hAnsi="Times New Roman"/>
          <w:sz w:val="18"/>
          <w:szCs w:val="18"/>
          <w:color w:val="auto"/>
        </w:rPr>
        <w:t>” shall mean the United States Federal Drug Administration (“FDA”)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spacing w:after="0" w:line="17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earliest of the date that (a) the Initial Registration Statement has been declared effective by the SEC, (b) all of the Securities have been sold pursuant to Rule 144 or may be sold pursuant to Rule 144 without the requirement for the Company to be in compliance with the current public information required under Rule 144 and without volume or manner-of-sale restrictions, (c) following the one year anniversary of the Closing Date provided that a holder of Securities is not an Affiliate of the Company, or (d) all of the Securities may be sold pursuant to an exemption from registration under Section 4(a)(1) of the Securities Act without volume or manner-of-sale restrictions and counsel to the Company has delivered to such holders a standing written unqualified opinion that resales may then be made by such holders of the Securities pursuant to such exemption which opinion shall be in form and substance reasonably acceptable to such holders.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shall mean the U.S. Employee Retirement Income Security Act of 1974, as amended.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 and all of the rules and regulations promulgated thereunder.</w:t>
      </w:r>
    </w:p>
    <w:p>
      <w:pPr>
        <w:spacing w:after="0" w:line="22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 Issuance</w:t>
      </w:r>
      <w:r>
        <w:rPr>
          <w:rFonts w:ascii="Times New Roman" w:cs="Times New Roman" w:eastAsia="Times New Roman" w:hAnsi="Times New Roman"/>
          <w:sz w:val="18"/>
          <w:szCs w:val="18"/>
          <w:color w:val="auto"/>
        </w:rPr>
        <w:t>” means the issuance of (a) securities with aggregate gross proceeds of up to $25,000,000 at an effective per share price of not less than $5.00 (provided that such securities are issued as “restricted securities” (as defined in Rule 144) and carry no registration rights that require or permit the filing of any registration statement in connection therewith during the prohibition period in Section 5.11(a)) in accordance with the provisions of Exhibit D (the “</w:t>
      </w:r>
      <w:r>
        <w:rPr>
          <w:rFonts w:ascii="Times New Roman" w:cs="Times New Roman" w:eastAsia="Times New Roman" w:hAnsi="Times New Roman"/>
          <w:sz w:val="18"/>
          <w:szCs w:val="18"/>
          <w:b w:val="1"/>
          <w:bCs w:val="1"/>
          <w:color w:val="auto"/>
        </w:rPr>
        <w:t>Exempt Financing</w:t>
      </w:r>
      <w:r>
        <w:rPr>
          <w:rFonts w:ascii="Times New Roman" w:cs="Times New Roman" w:eastAsia="Times New Roman" w:hAnsi="Times New Roman"/>
          <w:sz w:val="18"/>
          <w:szCs w:val="18"/>
          <w:color w:val="auto"/>
        </w:rPr>
        <w:t xml:space="preserve">”), (b)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(c) securities upon the exercise or exchange of or conversion of any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(d)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xml:space="preserve">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any arbitrator, court, governmental body, regulatory body, administrative agency or other authority, body or agency having jurisdiction over the Company or its Subsidiaries or any of their respective properties, assets or operations.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hereof .</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Legend Removal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shall mean any change, event, circumstance, development, condition, occurrence or effect that, individually or in the aggregate, (a) was, is, or would reasonably be expected to be, materially adverse to the business, prospects, financial condition, properties, assets, liabilities, stockholders’ equity or results of operations of the Company and its Subsidiaries, taken as a whole, or (b) materially delays or materially impairs the ability of the Company to comply, or prevents the Company from complying, with its obligations under this Agreement, the other Transaction Agreements, or with respect to the Closing or would reasonably be expected to do so.</w:t>
      </w:r>
    </w:p>
    <w:p>
      <w:pPr>
        <w:spacing w:after="0" w:line="179"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National Exchange</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 individual, partnership, corporation, limited liability company, business trust, joint stock company, trust, unincorporated association, joint venture or any other entity or organization.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means Wells Fargo Securities, LLC.</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 have the meanings set forth in the recitals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6.1(j)</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Request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by the SEC pursuant to the Securities Act, as such Rule may be amended from time to time, or any similar rule or regulation hereafter adopted by the SEC having substantially the same effect as such Rule.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the recitals</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 Sales</w:t>
      </w:r>
      <w:r>
        <w:rPr>
          <w:rFonts w:ascii="Times New Roman" w:cs="Times New Roman" w:eastAsia="Times New Roman" w:hAnsi="Times New Roman"/>
          <w:sz w:val="18"/>
          <w:szCs w:val="18"/>
          <w:color w:val="auto"/>
        </w:rPr>
        <w:t>”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594995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Returns</w:t>
      </w:r>
      <w:r>
        <w:rPr>
          <w:rFonts w:ascii="Times New Roman" w:cs="Times New Roman" w:eastAsia="Times New Roman" w:hAnsi="Times New Roman"/>
          <w:sz w:val="18"/>
          <w:szCs w:val="18"/>
          <w:color w:val="auto"/>
        </w:rPr>
        <w:t>” shall mean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spacing w:after="0" w:line="171"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shall mean any and all federal, state, local, foreign and other taxes, levies, fees, imposts, duties and charges of whatever kind (including any interest, penalties or additions to the tax imposed in connection therewith or with respect thereto), whether or not imposed on the Company,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National Exchange is open for trading.</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Agreements</w:t>
      </w:r>
      <w:r>
        <w:rPr>
          <w:rFonts w:ascii="Times New Roman" w:cs="Times New Roman" w:eastAsia="Times New Roman" w:hAnsi="Times New Roman"/>
          <w:sz w:val="18"/>
          <w:szCs w:val="18"/>
          <w:color w:val="auto"/>
        </w:rPr>
        <w:t>” shall mean this Agreement and the Registration Rights Agreement.</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shall mean, with respect to the Common Stock, Broadridge Corporate Issuer Solutions, Inc., or such other financial institution that provides transfer agent services as the Company may engage from time to time.</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shall mean all real property transfer, sales, use, value added, stamp, documentary, recording, registration, conveyance, stock transfer, intangible property transfer, personal property transfer, gross receipts, registration, duty, securities transactions or similar fees or Taxes (together with any interest, penalty, or addition thereto) incurred in connection with the transactions contemplated by this Agreement.</w:t>
      </w:r>
    </w:p>
    <w:p>
      <w:pPr>
        <w:spacing w:after="0" w:line="17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National Exchange, the daily volume weighted average price of the Common Stock for such date (or the nearest preceding date) on the National Exchange on which the Common Stock is then listed or quoted as reported by Bloomberg L.P. (based on a Trading Day from 9:30 a.m. (New York City time) to 4:02 p.m. (New York City time)), (b) if the Common Stock is then listed or quoted on the OTCQB or OTCQX,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9" w:lineRule="exact"/>
        <w:rPr>
          <w:sz w:val="20"/>
          <w:szCs w:val="20"/>
          <w:color w:val="auto"/>
        </w:rPr>
      </w:pPr>
    </w:p>
    <w:p>
      <w:pPr>
        <w:ind w:left="1120" w:hanging="363"/>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xml:space="preserve">. On the Closing Date, upon the terms and subject to the conditions set forth herein, the Company agrees to sell, and the Purchasers, severally and not jointly, agree to purchase, up to an aggregate of (A) $49,999,990.30 of Shares, and (B) Common Warrants exercisable for 19,600,153 shares, with an exercise price per share equal to $3.289. Subject to and upon the terms and conditions set forth in this Agreement, at the Closing, the Company shall issue and sell to each Purchaser, and each Purchaser, severally and not jointly, shall purchase from the Company, that number of Shares and Common Warrants, as applicable, equal to (x) the dollar amount set forth opposite such Purchaser’s name on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under the heading “Aggregate Purchase Price” divided by (y) $2.551, rounded down to the nearest whole share.</w:t>
      </w:r>
    </w:p>
    <w:p>
      <w:pPr>
        <w:spacing w:after="0" w:line="187"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Subject to the satisfaction or waiver of the conditions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the closing of the purchase and sale of the Securities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occur remotely via the exchange of documents and signatures on the Closing Date to be agreed to by the Company and each Purchaser but (i) in no event earlier than the second Business Day after the date hereof and (ii) in no event later than the fifth Business Day after the date hereof. At the Closing, (i) the Company shall irrevocably instruct the Transfer Agent to issue the Securities registered in the name of such Purchaser, or in such nominee name(s) as designated by such Purchaser, representing the number of Securities to be purchased by such Purchaser at such Closing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(ii) each Purchaser shall pay to the Company the aggregate purchase price for the Securities being purchased by such Purchaser, by wire transfer to the Company of immediately available funds to an account to be designated by the Company in writing (which shall not be an escrow account). The Shares and Common Warrant Shares will be issued in book-entry form, free and clear of all restrictive and other legends (except as expressly provided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hereof) and the Company shall cause the Transfer Agent to provide evidence of such issuance as of the Closing Date to each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both"/>
        <w:ind w:firstLine="757"/>
        <w:spacing w:after="0" w:line="266" w:lineRule="auto"/>
        <w:tabs>
          <w:tab w:leader="none" w:pos="11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xml:space="preserve">. The Company hereby represents and warrants to each of the Purchasers and the Placement Agent that the statements contained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are true and correct as of the date hereof and as of the Closing Date (except for the representations and warranties that speak as of a specific date, which shall be made as of such date):</w:t>
      </w:r>
    </w:p>
    <w:p>
      <w:pPr>
        <w:spacing w:after="0" w:line="176"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Power</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has the requisite power and authority to own, lease and operate its properties and to carry on its business as described in the 2025 SEC Reports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As of the date hereof, the Company’s subsidiaries consist of Pyxis Securities Corporation, a Massachusetts corporation, Apexigen, Inc., a California corporation, and Apexigen America, Inc., a Delaware corporation and wholly-owned subsidiary of Apexigen, Inc. (collectively, the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Each of the Subsidiaries is duly incorporated and validly existing and in good standing under the laws of the jurisdiction of its incorporation and has the requisite power and authority to carry on its business as described in the 2025 SEC Reports and to own or lease its properties. Each of the Subsidiaries is duly qualified to do business as a foreign corporation and is in good standing in each jurisdiction in which such qualification is required unless the failure to so qualify has not had and would not reasonably be expected to have, individually or in the aggregate, a Material Adverse Effect.</w:t>
      </w:r>
    </w:p>
    <w:p>
      <w:pPr>
        <w:spacing w:after="0" w:line="192"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capital stock of the Company consists of 190,000,000 shares of Common Stock and 10,000,000 shares of preferred stock, par value $0.001 per share. The Company’s capitalization is accurately reflected in the 2025 SEC Reports containing such disclosure as of the date indicated in such 2025 SEC Reports.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or in violation of applicable securities laws, except for such violations as have not had and would not reasonably be expected to have, individually or in the aggregate, a Material Adverse Effect.</w:t>
      </w:r>
    </w:p>
    <w:p>
      <w:pPr>
        <w:spacing w:after="0" w:line="187"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set forth in the Transaction Agreements or as disclosed in the 2025 SEC Reports, the Company is presently not under any obligation, and has not granted any rights, to register under the Securities Act any of the Company’s presently outstanding securities or any of its securities that may hereafter be issued that have not expired or been satisfied or waived.</w:t>
      </w:r>
    </w:p>
    <w:p>
      <w:pPr>
        <w:spacing w:after="0" w:line="176"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Company has all requisite corporate power and authority to enter into the Transaction Agreements and to carry out and perform its obligations under the terms of the Transaction Agreements, including the issuance and sale of the Securities. All corporate action on the part of the Company, its officers, directors and stockholders necessary for the authorization of the Shares, the shares of Common Stock issuable upon exercise of the Common Warrants (the “</w:t>
      </w:r>
      <w:r>
        <w:rPr>
          <w:rFonts w:ascii="Times New Roman" w:cs="Times New Roman" w:eastAsia="Times New Roman" w:hAnsi="Times New Roman"/>
          <w:sz w:val="18"/>
          <w:szCs w:val="18"/>
          <w:b w:val="1"/>
          <w:bCs w:val="1"/>
          <w:color w:val="auto"/>
        </w:rPr>
        <w:t>Common Warrant Shares</w:t>
      </w:r>
      <w:r>
        <w:rPr>
          <w:rFonts w:ascii="Times New Roman" w:cs="Times New Roman" w:eastAsia="Times New Roman" w:hAnsi="Times New Roman"/>
          <w:sz w:val="18"/>
          <w:szCs w:val="18"/>
          <w:color w:val="auto"/>
        </w:rPr>
        <w:t>”), the authorization, execution, delivery and performance of the Transaction Agreements and the consummation of the transactions contemplated herein, including the issuance and sale of the Securities, has been taken. This Agreement has been duly executed and delivered by the Company and assuming the due authorization, execution and delivery by each Purchaser and that this Agreement constitutes the legal, valid and binding agreement of each Purchaser, this Agreement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respective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spacing w:after="0" w:line="197"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xml:space="preserve">. The Shares being purchased by the Purchasers hereunder, upon issuance pursuant to the terms hereof,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Shares shall be entitled to all rights accorded to a holder of Common Stock. The Common Warrant Shares, upon issuance pursuant to the terms of the Common Warrants, will be duly and validly issued, fully paid and non-assessable and will be issued free and clear of any liens or restrictions (other than those as provided in the Transaction Agreements or restrictions on transfer under applicable state and federal securities laws) and the holder of the Common Warrant Shares, as applicable, shall be entitled to all rights accorded to a holder of Common Stock. Subject to the accuracy of the representations and warranties made by the Purchasers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the offer and sale of the Securities to the Purchasers is and will be in compliance with applicable exemptions from (i) the registration and prospectus delivery requirements of the Securities Act and (ii) the registration and qualification requirements of applicable securities laws of the states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of the Transaction Agreements by the Company, the issuance and sale of the Securities and the consummation of the other transactions contemplated by the Transaction Agreements will not (i) violate any provision of the Amended and Restated Certificate of Incorporation or Amended and Restated Bylaws of the Company,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Subsidiary or their respective properties or assets, or (iii) result in a violation of any law, rule, regulation, order, judgment, injunction, decree or other restriction of any court or governmental authority to which the Company or any Subsidiary is subject (including federal and state securities laws and regulations) and the rules and regulations of any self-regulatory organization to which the Company or its securities are subject, or by which any property or asset of the Company or any Subsidiary is bound or affected, except, in the case of clauses (ii) and (iii), as would not, individually or in the aggregate, be reasonably expected to have a Material Adverse Effect.</w:t>
      </w:r>
    </w:p>
    <w:p>
      <w:pPr>
        <w:spacing w:after="0" w:line="194"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Assuming the accuracy of the representations and warranties of the Purchasers,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such as (a) have been or will be obtained or made under the Securities Act or the Exchange Act, (b) the filing of any requisite notices and/or application(s) to the National Exchange for the issuance and sale of the Shares or the Common Warrant Shares and the listing of the Shares or the Common Warrant Shares for trading or quotation, as the case may be, thereon in the time and manner required thereby, (c) customary post-closing filings with the SEC or pursuant to state securities laws in connection with the offer and sale of the Shares or the Common Warrant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spacing w:after="0" w:line="19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2254"/>
        <w:spacing w:after="0" w:line="253" w:lineRule="auto"/>
        <w:tabs>
          <w:tab w:leader="none" w:pos="260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or furnished, as applicable, all forms, registration statements, proxy or consent solicitation statements, certifications, reports and documents required to be filed or furnished by it with the SEC under the Exchange Act or the Securities Act for the period commencing on January 1, 2023 (to the extent applicable to the Company during such period) and ending on the Business Day immediately preceding the date hereof (the “</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As of the time it was filed with, or furnished to, the SEC (or, if amended or superseded by a filing prior to the date of this Agreement, then on the date of such filing), each of the SEC Reports complied in all material respects with the applicable requirements of the Securities Act or the Exchange Act (as the case may be), and the rules and regulations promulgated thereunder and, as of the time they were filed or furnished, none of the SEC Reports contained any untrue statement of a material fact or omitted to state a material fact required to be stated therein or necessary in order to make the statements therein (except in the case of a registration statement filed pursuant to the Securities Act, in light of the circumstances under which they were made,) not misleading. There are no outstanding or unresolved comments from the SEC staff with respect to the SEC Reports. None of the SEC Reports is the subject of an ongoing SEC review.</w:t>
      </w:r>
    </w:p>
    <w:p>
      <w:pPr>
        <w:spacing w:after="0" w:line="190" w:lineRule="exact"/>
        <w:rPr>
          <w:rFonts w:ascii="Times New Roman" w:cs="Times New Roman" w:eastAsia="Times New Roman" w:hAnsi="Times New Roman"/>
          <w:sz w:val="18"/>
          <w:szCs w:val="18"/>
          <w:color w:val="auto"/>
        </w:rPr>
      </w:pPr>
    </w:p>
    <w:p>
      <w:pPr>
        <w:jc w:val="both"/>
        <w:ind w:firstLine="2254"/>
        <w:spacing w:after="0" w:line="253" w:lineRule="auto"/>
        <w:tabs>
          <w:tab w:leader="none" w:pos="260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the Company and its Subsidiaries included in the SEC Reports (collectively, the “</w:t>
      </w:r>
      <w:r>
        <w:rPr>
          <w:rFonts w:ascii="Times New Roman" w:cs="Times New Roman" w:eastAsia="Times New Roman" w:hAnsi="Times New Roman"/>
          <w:sz w:val="18"/>
          <w:szCs w:val="18"/>
          <w:b w:val="1"/>
          <w:b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comply in all material respects with applicable accounting requirements and the rules and regulations of the SEC with respect thereto as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at the time of filing (or to the extent corrected by a subsequent restatement) and fairly present in all material respects the consolidated financial position of the Company (or, in the case of a Subsidiary prior to its acquisition by the Company, such Subsidiary) as of the dates indicated, and the results of its (or, in the case of a Subsidiary prior to its acquisition by the Company, such Subsidiary’s) operations and cash flows for the periods therein specified, all in accordance with United States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(except as otherwise noted therein, and in the case of unaudited financial statements, as permitted by Form 10-Q of the SEC, and except that the unaudited financial statements may not contain footnotes and are subject to normal and recurring year-end adjustments) applied on a consistent basis unless otherwise noted therein throughout the periods therein specified. Except as set forth in the Financial Statements filed prior to the date hereof, neither the Company nor any Subsidiary has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w:t>
      </w:r>
    </w:p>
    <w:p>
      <w:pPr>
        <w:spacing w:after="0" w:line="194"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Except as otherwise stated or disclosed in the 2025 SEC Reports, between December 31, 2025 and the date of this Agreement, (a) the Company has conducted, and has caused its Subsidiaries to conduct, their respective businesses only in the ordinary course of business and there have been no material transactions entered into by the Company or any of its Subsidiaries (except for the execution and performance of this Agreement and the discussions, negotiations and transactions related thereto); (b) no material change to any material contract or arrangement by which the Company or any Subsidiary is bound or to which any of their respective assets or properties is subject has been entered into that has not been disclosed in the 2025 SEC Reports; and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there has not been any other event or condition of any character that has had or would reasonably be expected to have a Material Adverse Effect.</w:t>
      </w:r>
    </w:p>
    <w:p>
      <w:pPr>
        <w:spacing w:after="0" w:line="225"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is no action, suit, proceeding, arbitration, claim, investigation or inquiry pending or, to the Company’s knowledge, threatened against the Company or any Subsidiary which, individually or in the aggregate, has had or would reasonably be expected to have a Material Adverse Effect, nor are there any orders, writs, injunctions, judgments or decrees outstanding of any court or government agency or instrumentality and binding upon the Company or any Subsidiary that have had or would reasonably be expected to have a Material Adverse Effect. Neither the Company nor any Subsidiary, nor to the knowledge of the Company, any director or officer of the Company or any Subsidiary, is, or within the last ten years has been, the subject of any action involving a claim of violation of or liability under federal or state securities laws relating to the Company or such Subsidiary or a claim of breach of fiduciary duty relating to the Company or such Subsidiary.</w:t>
      </w:r>
    </w:p>
    <w:p>
      <w:pPr>
        <w:spacing w:after="0" w:line="189"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Compliance with Law; Permits</w:t>
      </w:r>
      <w:r>
        <w:rPr>
          <w:rFonts w:ascii="Times New Roman" w:cs="Times New Roman" w:eastAsia="Times New Roman" w:hAnsi="Times New Roman"/>
          <w:sz w:val="18"/>
          <w:szCs w:val="18"/>
          <w:color w:val="auto"/>
        </w:rPr>
        <w:t>. Neither the Company nor any Subsidiary is in violation of, nor have any of them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cs="Times New Roman" w:eastAsia="Times New Roman" w:hAnsi="Times New Roman"/>
          <w:sz w:val="18"/>
          <w:szCs w:val="18"/>
          <w:b w:val="1"/>
          <w:bCs w:val="1"/>
          <w:color w:val="auto"/>
        </w:rPr>
        <w:t>Governmental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from such federal, state or local government or governmental agency, department or body that are currently necessary for the operation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business of the Company and the Subsidiaries as described in the 2025 SEC Reports, except where the failure to possess currently such Governmental Authorizations has not had and is not reasonably expected to have a Material Adverse Effect. Neither the Company nor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spacing w:after="0" w:line="194"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its Subsidiaries own, or have rights to use, all material inventions, patent applications, patents, trademarks, trade names, service names, service marks, copyrights, trade secrets, know how (including unpatented and/or unpatentable proprietary of confidential information, systems or procedures) and other intellectual property necessary for the operation of their respective businesses as described in the 2025 SEC Reports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(a) there are no third parties who have rights, including liens, security interests, or other encumbrances, to any Intellectual Property; and (b) there is no infringement by third parties of any Intellectual Property. Except as disclosed in the 2025 SEC Reports, no action, suit, or other proceeding is pending, or, to the Company’s knowledge, is threatened: (i) challenging the Company’s or its Subsidiaries’ rights in or to any Intellectual Property; (ii) challenging the validity, enforceability or scope of any Intellectual Property; or (iii) alleging that the Company or any of its Subsidiaries infringes, misappropriates, or otherwise violates any patent, trademark, trade name, service name, copyright, trade secret or other proprietary rights of others. The Company and its Subsidiaries have complied in all material respects with the terms of each agreement pursuant to which Intellectual Property has been licensed to the Company or any of its Subsidiaries in all material respects, all such agreements are in full force and effect and, to the Company’s knowledge, the obligations of the counterparties to such agreements are performing their obligations when due in all material respects. To the Company’s knowledge, there are no material defects in any of the patents or patent applications included in the Intellectual Property. The Company and its Subsidiaries have taken all reasonable steps to protect, maintain and safeguard their Intellectual Property.</w:t>
      </w:r>
    </w:p>
    <w:p>
      <w:pPr>
        <w:spacing w:after="0" w:line="195"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Each Benefit Plan has been established and administered in accordance with its terms and in compliance in all material respects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w:t>
      </w:r>
    </w:p>
    <w:p>
      <w:pPr>
        <w:spacing w:after="0" w:line="187"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each of its Subsidiaries has filed all federal income Tax Returns and other Tax Returns required to have been filed under applicable law (or extensions have been duly obtained) and has paid all Taxes required to have been paid by them, except for those which are being contested in good faith and for which adequate reserves have been recorded in accordance with GAAP. No assessment in connection with United States federal tax returns has been made against the Company or any of its Subsidiaries. The charges, accruals and reserves on the books of the Company and its Subsidiaries in respect of any income and corporation tax liability for any years not finally determined are adequate to meet any assessments or reassessments for additional income tax for any years not finally determined.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or any Subsidiary. The Company, at all times since inception, has been and continues to be each classified as a corporation for U.S. federal income tax purposes. Neither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nor any of its Subsidiaries has been a United States real property holding corporation within the meaning of Code Section 897(c)(2) during the period specified in Code Section 897(c)(1)(A)(ii).</w:t>
      </w:r>
    </w:p>
    <w:p>
      <w:pPr>
        <w:spacing w:after="0" w:line="162"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and other Governmental Authorizations required under applicable Environmental Laws to conduct their respective businesses as described in the 2025 SEC Reports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has not had and would not, individually or in the aggregate, reasonably be expected to have a Material Adverse Effect. Neither the Company nor any Subsidiary has received since January 1, 2023 (to the extent applicable to the Company during such period), any written notice or other communication (in writing or otherwise), whether from a governmental authority or other Person, that alleges that the Company is not in compliance with any Environmental Law and, to the knowledge of the Company, there are no circumstances that may prevent or interfere with the Company’s compliance in any material respects with any Environmental Law in the future, except where such failure to comply would not reasonably be expected to have a Material Adverse Effect To the knowledge of the Company: (i) no current or (during the time a prior property was leased or controlled by the Company) prior property leased or controlled by the Company or any Subsidiary has received since January 1, 2023 (to the extent applicable to the Company during such period), any written notice or other communication relating to property owned or leased at any time by the Company, whether from a governmental authority, or other Person, that alleges that such current or prior owner or the Company or a Subsidiary is not in compliance with or violated any Environmental Law relating to such property and (ii) neither the Company nor any Subsidiary has any material liability under any Environmental Law.</w:t>
      </w:r>
    </w:p>
    <w:p>
      <w:pPr>
        <w:spacing w:after="0" w:line="195"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Each of the Company and its Subsidiaries has good and marketable title to all personal property owned by it that is material to the respective businesses of the Company or each such Subsidiary, free and clear of all liens, encumbrances and defects except such as do not materially affect the value of such property and do not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interfere with the use made and proposed to be made of such property and buildings by the Company or its Subsidiaries, as the case may be. Neither the Company nor any Subsidiary owns any real property.</w:t>
      </w:r>
    </w:p>
    <w:p>
      <w:pPr>
        <w:spacing w:after="0" w:line="187"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carry or are entitled to the benefits of insurance in such amounts and covering such risks that is customary for comparably situated companies and is adequate for the conduct of their respective businesses as described in the 2025 SEC Reports and the value of their respective properties (owned or leased) and assets, and each of such insurance policies is in full force and effect and the Company and each Subsidiary is in compliance in all material respects with the terms thereof. Other than customary end of policy notifications from insurance carriers, since January 1, 2023 (to the extent applicable to the Company during such period), neither the Company nor any Subsidiary has received any notice or other communication regarding any actual or possible: (i) cancellation or invalidation of any insurance policy or (ii) refusal or denial of any coverage, reservation of rights or rejection of any material claim under any insurance policy.</w:t>
      </w:r>
    </w:p>
    <w:p>
      <w:pPr>
        <w:spacing w:after="0" w:line="18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Nasdaq Stock Market</w:t>
      </w:r>
      <w:r>
        <w:rPr>
          <w:rFonts w:ascii="Times New Roman" w:cs="Times New Roman" w:eastAsia="Times New Roman" w:hAnsi="Times New Roman"/>
          <w:sz w:val="18"/>
          <w:szCs w:val="18"/>
          <w:color w:val="auto"/>
        </w:rPr>
        <w:t>. The issued and outstanding shares of Common Stock are registered pursuant to Section 12(b) of the Exchange Act and are listed for trading on the Nasdaq Global Select Market under the symbol “PYXS”. The Company is in compliance with all applicable listing requirements of Nasdaq applicable to the Company and the Company has received no written or, to the Company’s knowledge, oral notice from Nasdaq that the Company is in or with the passage of time will be in violation of Nasdaq rules. As of the date hereof, there is no suit, action, proceeding or investigation pending or, to the knowledge of the Company, threatened against the Company by Nasdaq or the SEC, respectively, to prohibit or terminate the listing of the Common Stock on the Nasdaq Global Select Market or to deregister the Common Stock under the Exchange Act. The Company has taken no action as of the date hereof that is designed to result in the delisting of the Common Stock from the Nasdaq Global Select Market or to terminate the registration of the Common Stock under the Exchange Act.</w:t>
      </w:r>
    </w:p>
    <w:p>
      <w:pPr>
        <w:spacing w:after="0" w:line="192" w:lineRule="exact"/>
        <w:rPr>
          <w:sz w:val="20"/>
          <w:szCs w:val="20"/>
          <w:color w:val="auto"/>
        </w:rPr>
      </w:pPr>
    </w:p>
    <w:p>
      <w:pPr>
        <w:jc w:val="both"/>
        <w:ind w:right="20" w:firstLine="1497"/>
        <w:spacing w:after="0" w:line="266"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is, and since January 1, 2023 (to the extent applicable to the Company during such period) has been, in compliance with all applicable requirements of the Sarbanes-Oxley Act of 2002 and applicable rules and regulations promulgated by the SEC thereunder.</w:t>
      </w:r>
    </w:p>
    <w:p>
      <w:pPr>
        <w:spacing w:after="0" w:line="17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Clinical Data and Regulatory Compliance</w:t>
      </w:r>
      <w:r>
        <w:rPr>
          <w:rFonts w:ascii="Times New Roman" w:cs="Times New Roman" w:eastAsia="Times New Roman" w:hAnsi="Times New Roman"/>
          <w:sz w:val="18"/>
          <w:szCs w:val="18"/>
          <w:color w:val="auto"/>
        </w:rPr>
        <w:t>. (i) The preclinical tests and clinical trials, and other studies used to support regulatory approval (collectively, “</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being conducted by the Company or any Subsidiary that are described in, or the results of which are referred to in, a 2025 SEC Report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a 2025 SEC Reports; (iii) the Company and its Subsidiaries have made all such filings and obtained all such approvals as may be required by the FDA or from any other U.S. federal, state or local government or foreign government or Drug Regulatory Agency, or institutional review board, each having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jc w:val="both"/>
        <w:spacing w:after="0" w:line="259" w:lineRule="auto"/>
        <w:rPr>
          <w:sz w:val="20"/>
          <w:szCs w:val="20"/>
          <w:color w:val="auto"/>
        </w:rPr>
      </w:pPr>
      <w:r>
        <w:rPr>
          <w:rFonts w:ascii="Times New Roman" w:cs="Times New Roman" w:eastAsia="Times New Roman" w:hAnsi="Times New Roman"/>
          <w:sz w:val="18"/>
          <w:szCs w:val="18"/>
          <w:color w:val="auto"/>
        </w:rPr>
        <w:t>over biopharmaceutical products (collectively, the “</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for the conduct of their respective businesses as described in the 2025 SEC Reports; (iv) neither the Company nor any of its Subsidiaries has received any notice of, or correspondence from, any Regulatory Agency requiring the termination or suspension of or imposing any clinical hold on any clinical trials that are described or referred to in the 2025 SEC Reports; and (v) the Company and its Subsidiaries have each operated and currently are in compliance in all material respects with all applicable rules, regulations and policies of the Regulatory Agencies.</w:t>
      </w:r>
    </w:p>
    <w:p>
      <w:pPr>
        <w:spacing w:after="0" w:line="183"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Compliance with Health Care Laws</w:t>
      </w:r>
      <w:r>
        <w:rPr>
          <w:rFonts w:ascii="Times New Roman" w:cs="Times New Roman" w:eastAsia="Times New Roman" w:hAnsi="Times New Roman"/>
          <w:sz w:val="18"/>
          <w:szCs w:val="18"/>
          <w:color w:val="auto"/>
        </w:rPr>
        <w:t>. The Company and its Subsidiaries are in compliance in all material respects with all Health Care Laws to the extent applicable to the respective businesses of the Company and its Subsidiaries as described in the 2025 SEC Reports. For purposes of this Agreement,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(i) 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the Health Insurance Portability and Accountability Act of 1996, as amended by the Health Information Technology for Economic and Clinical Health Act (42 U.S.C. Section 17921 et seq.)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(iv) the Patient Protection and Affordable Care Act of 2010, as amended by the Health Care and Education Reconciliation Act of 2010; (v)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205"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Accounting Controls and Disclosure Controls and Procedures</w:t>
      </w:r>
      <w:r>
        <w:rPr>
          <w:rFonts w:ascii="Times New Roman" w:cs="Times New Roman" w:eastAsia="Times New Roman" w:hAnsi="Times New Roman"/>
          <w:sz w:val="18"/>
          <w:szCs w:val="18"/>
          <w:color w:val="auto"/>
        </w:rPr>
        <w:t>. The Company and its Subsidiaries maintain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including policies and procedures sufficient to provide reasonable assurance (i) that the Company and its Subsidiaries maintain records that in reasonable detail accurately and fairly reflect the transactions and dispositions of assets of the Company and its Subsidiaries,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assets of the Company and its Subsidiaries that could have a material effect on the Company’s financial statements. Except as disclosed in the Company’s SEC Reports, the Company has not identified any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on its own behalf and on behalf of its Subsidiaries,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spacing w:after="0" w:line="197"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Price Stabilization of Common Stock</w:t>
      </w:r>
      <w:r>
        <w:rPr>
          <w:rFonts w:ascii="Times New Roman" w:cs="Times New Roman" w:eastAsia="Times New Roman" w:hAnsi="Times New Roman"/>
          <w:sz w:val="18"/>
          <w:szCs w:val="18"/>
          <w:color w:val="auto"/>
        </w:rPr>
        <w:t>. The Company has not taken, nor will it take, directly or indirectly, any action designed to stabilize or manipulate the price of the Common Stock to facilitate the sale or resale of the Shares or the Common Warrant Shares.</w:t>
      </w:r>
    </w:p>
    <w:p>
      <w:pPr>
        <w:spacing w:after="0" w:line="162"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and immediately after receipt of payment for the Common Stock will not be, an “investment company” within the meaning of the Investment Company Act of 1940, as amended.</w:t>
      </w:r>
    </w:p>
    <w:p>
      <w:pPr>
        <w:spacing w:after="0" w:line="162"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General Solicitation; No Integration or Aggregation</w:t>
      </w:r>
      <w:r>
        <w:rPr>
          <w:rFonts w:ascii="Times New Roman" w:cs="Times New Roman" w:eastAsia="Times New Roman" w:hAnsi="Times New Roman"/>
          <w:sz w:val="18"/>
          <w:szCs w:val="18"/>
          <w:color w:val="auto"/>
        </w:rPr>
        <w:t>. Neither the Company, nor any Subsidiary, nor any other Person or entity authorized by the Company or any Subsidiary to act on its behalf has engaged in a general solicitation or general advertising (within the meaning of Regulation D of the Securities Act) of investors with respect to offers or sales of Common Stock pursuant to this Agreement. The Company has not, directly or indirectly, sold, offered for sale, solicited offers to buy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negotiated in respect of, any security (as defined in the Securities Act) which, to its knowledge, is or will be (i) integrated with the Securities sold pursuant to this Agreement for purposes of the Securities Act or (ii) aggregated with prior offerings by the Company for the purposes of the rules and regulations of the Nasdaq Global Market. Assuming the accuracy of the representations and warranties of the Purchasers set forth in Section 4,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for the exemption from registration for the transactions contemplated hereby.</w:t>
      </w:r>
    </w:p>
    <w:p>
      <w:pPr>
        <w:spacing w:after="0" w:line="187"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Other than the Placement Agent, neither the Company, nor any Subsidiary, nor any other Person authorized by the Company or any Subsidiary to act on its behalf has retained, utilized or been represented by any broker or finder in connection with the transactions contemplated by this Agreement.</w:t>
      </w:r>
    </w:p>
    <w:p>
      <w:pPr>
        <w:spacing w:after="0" w:line="176"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Reliance by the Purchasers</w:t>
      </w:r>
      <w:r>
        <w:rPr>
          <w:rFonts w:ascii="Times New Roman" w:cs="Times New Roman" w:eastAsia="Times New Roman" w:hAnsi="Times New Roman"/>
          <w:sz w:val="18"/>
          <w:szCs w:val="18"/>
          <w:color w:val="auto"/>
        </w:rPr>
        <w:t>. The Company acknowledges that each of the Purchasers is relying upon the truth and accuracy of, and the Company’s compliance with, the representations, warranties, agreements, acknowledgements and understandings of the Company set forth herein.</w:t>
      </w:r>
    </w:p>
    <w:p>
      <w:pPr>
        <w:spacing w:after="0" w:line="162"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8"/>
          <w:szCs w:val="18"/>
          <w:color w:val="auto"/>
        </w:rPr>
        <w:t xml:space="preserve">3.28 </w:t>
      </w: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Neither the Company nor any of its (i) predecessors, (ii) affiliates, (iii) directors, (iv) executive officers, (v) non-executive officers participating in the placement contemplated by this Agreement, (vi) beneficial owners of 20% or more of its outstanding voting equity securities (calculated on the basis of voting power), (vii) promoters, or (viii) investment managers (including any of such investment managers’ directors, executive officers or officers participating in the placement contemplated by this Agreement) or general partners or managing members of such investment managers (including any of such general partners’ or management members’ directors, executive officers or officers participating in the placement contemplated by this Agreement) is subject to the disqualification provisions of Rule 506(d) of Regulation D under the Securities Act.</w:t>
      </w:r>
    </w:p>
    <w:p>
      <w:pPr>
        <w:spacing w:after="0" w:line="189"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3.29 </w:t>
      </w:r>
      <w:r>
        <w:rPr>
          <w:rFonts w:ascii="Times New Roman" w:cs="Times New Roman" w:eastAsia="Times New Roman" w:hAnsi="Times New Roman"/>
          <w:sz w:val="18"/>
          <w:szCs w:val="18"/>
          <w:u w:val="single" w:color="auto"/>
          <w:color w:val="auto"/>
        </w:rPr>
        <w:t>No Additional Agreements</w:t>
      </w:r>
      <w:r>
        <w:rPr>
          <w:rFonts w:ascii="Times New Roman" w:cs="Times New Roman" w:eastAsia="Times New Roman" w:hAnsi="Times New Roman"/>
          <w:sz w:val="18"/>
          <w:szCs w:val="18"/>
          <w:color w:val="auto"/>
        </w:rPr>
        <w:t>. The Company has no other agreements or understandings (including side letters) with any Purchaser or any other Person with respect to the transactions contemplated by the Transaction Agreements other than as specified in the Transaction Agreements.</w:t>
      </w:r>
    </w:p>
    <w:p>
      <w:pPr>
        <w:spacing w:after="0" w:line="162"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3.30 </w:t>
      </w:r>
      <w:r>
        <w:rPr>
          <w:rFonts w:ascii="Times New Roman" w:cs="Times New Roman" w:eastAsia="Times New Roman" w:hAnsi="Times New Roman"/>
          <w:sz w:val="18"/>
          <w:szCs w:val="18"/>
          <w:u w:val="single" w:color="auto"/>
          <w:color w:val="auto"/>
        </w:rPr>
        <w:t>Anti-Bribery and Anti-Money Laundering Laws</w:t>
      </w:r>
      <w:r>
        <w:rPr>
          <w:rFonts w:ascii="Times New Roman" w:cs="Times New Roman" w:eastAsia="Times New Roman" w:hAnsi="Times New Roman"/>
          <w:sz w:val="18"/>
          <w:szCs w:val="18"/>
          <w:color w:val="auto"/>
        </w:rPr>
        <w:t>.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(B) anti-money laundering laws, including, but not limited to, applicable federal, state, international, foreign or other laws, regulations or government guidance regarding anti-money laundering, including, without limitation, Title 18 U.S.C. §§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spacing w:after="0" w:line="192"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described in the 2025 SEC Reports,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cs="Times New Roman" w:eastAsia="Times New Roman" w:hAnsi="Times New Roman"/>
          <w:sz w:val="18"/>
          <w:szCs w:val="18"/>
          <w:b w:val="1"/>
          <w:bCs w:val="1"/>
          <w:color w:val="auto"/>
        </w:rPr>
        <w:t>Confidential Data</w:t>
      </w:r>
      <w:r>
        <w:rPr>
          <w:rFonts w:ascii="Times New Roman" w:cs="Times New Roman" w:eastAsia="Times New Roman" w:hAnsi="Times New Roman"/>
          <w:sz w:val="18"/>
          <w:szCs w:val="18"/>
          <w:color w:val="auto"/>
        </w:rPr>
        <w:t>”) used or maintained in connection with their businesses and Personal Data (defined below), and the integrity, availability continuous operation, redundancy and security of all IT Systems.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HIPAA; and (iv) any information that would qualify as “personal data,” “personal information” (or similar term) under the Privacy Laws. To the Company’s knowledge, there have been no breaches, outages or unauthorized uses of or accesses to the IT Systems, Confidential Data, or Personal Data that would require notification under Privacy Laws (as defined below) or disclosure under the Securities Act, the Exchange Act, or the respective rules and regulations promulgated by the SEC thereunder.</w:t>
      </w:r>
    </w:p>
    <w:p>
      <w:pPr>
        <w:spacing w:after="0" w:line="197"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The Company and its Subsidiaries are, and at all prior times to January 1, 2023 (to the extent applicable to the Company during such period) were, in material compliance with all applicable state, federal and foreign data privacy and security laws and regulations regarding the collection, use, storage, retention, disclosure, transfer, disposal,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jc w:val="both"/>
        <w:spacing w:after="0" w:line="254" w:lineRule="auto"/>
        <w:rPr>
          <w:sz w:val="20"/>
          <w:szCs w:val="20"/>
          <w:color w:val="auto"/>
        </w:rPr>
      </w:pPr>
      <w:r>
        <w:rPr>
          <w:rFonts w:ascii="Times New Roman" w:cs="Times New Roman" w:eastAsia="Times New Roman" w:hAnsi="Times New Roman"/>
          <w:sz w:val="18"/>
          <w:szCs w:val="18"/>
          <w:color w:val="auto"/>
        </w:rPr>
        <w:t>any other processing (collectively “</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of Personal Data, including without limitation HIPAA, the EU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cs="Times New Roman" w:eastAsia="Times New Roman" w:hAnsi="Times New Roman"/>
          <w:sz w:val="18"/>
          <w:szCs w:val="18"/>
          <w:b w:val="1"/>
          <w:bCs w:val="1"/>
          <w:color w:val="auto"/>
        </w:rPr>
        <w:t>Privacy Statements</w:t>
      </w:r>
      <w:r>
        <w:rPr>
          <w:rFonts w:ascii="Times New Roman" w:cs="Times New Roman" w:eastAsia="Times New Roman" w:hAnsi="Times New Roman"/>
          <w:sz w:val="18"/>
          <w:szCs w:val="18"/>
          <w:color w:val="auto"/>
        </w:rPr>
        <w:t>”). The Company and its Subsidiaries have at all times since inception provided materially accurate notice of its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spacing w:after="0" w:line="192"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No relationship, direct or indirect, exists between or among the Company or any Subsidiary, on the one hand, and the directors, officers, stockholders, customers or suppliers of the Company or such Subsidiary, on the other hand, that is required to be described in the SEC Reports that is not so described.</w:t>
      </w:r>
    </w:p>
    <w:p>
      <w:pPr>
        <w:spacing w:after="0" w:line="176"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xml:space="preserve">. The Company has a reasonable basis for making each of the representations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The Company acknowledges that the Purchaser is relying upon the accuracy and truthfulness of the foregoing representations made by the Company hereunder, hereby acknowledges that such reliance is reasonable, and hereby consents to such reliance.</w:t>
      </w:r>
    </w:p>
    <w:p>
      <w:pPr>
        <w:spacing w:after="0" w:line="176"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3.35 </w:t>
      </w: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Except as provided in Section 4.14 of this Agreement,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Agreements.</w:t>
      </w:r>
    </w:p>
    <w:p>
      <w:pPr>
        <w:spacing w:after="0" w:line="19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 xml:space="preserve">3.36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The Company acknowledges that no Purchaser is acting as a financial advisor or fiduciary of the Company (or in any similar capacity) with respect to the Transaction Agreements and the transactions contemplated thereby, and any advice or other guidance provided by any Purchaser or any of its representatives and agents with respect to the Transaction Agreements and the transactions contemplated thereby is merely incidental to such Purchaser’s entry into such transactions. The Company’s decision to enter into the Transaction Agreements and to consummate the transactions contemplated thereby has been based solely on the independent evaluation by the Company and its representatives and agents.</w:t>
      </w:r>
    </w:p>
    <w:p>
      <w:pPr>
        <w:spacing w:after="0" w:line="183" w:lineRule="exact"/>
        <w:rPr>
          <w:sz w:val="20"/>
          <w:szCs w:val="20"/>
          <w:color w:val="auto"/>
        </w:rPr>
      </w:pPr>
    </w:p>
    <w:p>
      <w:pPr>
        <w:jc w:val="both"/>
        <w:ind w:firstLine="757"/>
        <w:spacing w:after="0" w:line="266" w:lineRule="auto"/>
        <w:tabs>
          <w:tab w:leader="none" w:pos="110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Each Purchaser</w:t>
      </w:r>
      <w:r>
        <w:rPr>
          <w:rFonts w:ascii="Times New Roman" w:cs="Times New Roman" w:eastAsia="Times New Roman" w:hAnsi="Times New Roman"/>
          <w:sz w:val="18"/>
          <w:szCs w:val="18"/>
          <w:color w:val="auto"/>
        </w:rPr>
        <w:t>. Each Purchaser, severally for itself and not jointly with any other Purchaser, represents and warrants to the Company and the Placement Agent that the statements contained in this Section 4 are true and correct as of the date hereof and the Closing Date:</w:t>
      </w:r>
    </w:p>
    <w:p>
      <w:pPr>
        <w:spacing w:after="0" w:line="176"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Such Purchaser is duly organized, validly existing and in good standing under the laws of the jurisdiction of its organization and has the requisite power and authority to own, lease and operate its properties and to carry on its business as now conducted.</w:t>
      </w:r>
    </w:p>
    <w:p>
      <w:pPr>
        <w:spacing w:after="0" w:line="162"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Such Purchaser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Purchaser or its stockholders, members or partners necessary for the authorization, execution, delivery and performance of this Agreement and the other Transaction Agreements to which it will be a party and the consummation of the other transactions contemplated herein has been taken. The signature of the Purchaser on this Agreement is genuine and the signatory to this Agreement, if the Purchaser is an individual, has the legal competence and capacity to execute the same or, if the Purchaser is not an individual, the signatory has been duly authorized to execute the same on behalf of the Purchaser. Assuming this Agreement constitutes the legal and binding agreement of the Company, this Agreement constitutes a legal, valid and binding obligation of such Purchaser, enforceable against such Purchaser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jc w:val="both"/>
        <w:ind w:firstLine="1497"/>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the Transaction Agreements by such Purchaser, the purchase of the Securities in accordance with their terms and the consummation by such Purchaser of the other transactions contemplated hereby will not conflict with or result in any violation of, breach or default by such Purchaser (with or without notice or lapse of time, or both) under, conflict with, or give rise to a right of termination, cancellation or acceleration of any obligation, a change of control right or to a loss of a material benefit under (i) any provision of the organizational documents of such Purchaser,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Purchaser or its respective properties or assets, except as would not, individually or in the aggregate, be reasonably expected to materially delay or hinder the ability of such Purchaser to perform its obligations under the Transaction Agreements.</w:t>
      </w:r>
    </w:p>
    <w:p>
      <w:pPr>
        <w:spacing w:after="0" w:line="192"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Residency</w:t>
      </w:r>
      <w:r>
        <w:rPr>
          <w:rFonts w:ascii="Times New Roman" w:cs="Times New Roman" w:eastAsia="Times New Roman" w:hAnsi="Times New Roman"/>
          <w:sz w:val="18"/>
          <w:szCs w:val="18"/>
          <w:color w:val="auto"/>
        </w:rPr>
        <w:t xml:space="preserve">. Such Purchaser’s residence (if an individual) or offices in which its investment decision with respect to the Securities was made (if an entity) are located at the address immediately below such Purchaser’s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Such Purchaser has not retained, utilized or been represented by any broker or finder in connection with the transactions contemplated by this Agreement whose fees the Company would be required to pay.</w:t>
      </w:r>
    </w:p>
    <w:p>
      <w:pPr>
        <w:spacing w:after="0" w:line="162"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Investment Representations and Warranties</w:t>
      </w:r>
      <w:r>
        <w:rPr>
          <w:rFonts w:ascii="Times New Roman" w:cs="Times New Roman" w:eastAsia="Times New Roman" w:hAnsi="Times New Roman"/>
          <w:sz w:val="18"/>
          <w:szCs w:val="18"/>
          <w:color w:val="auto"/>
        </w:rPr>
        <w:t>. Each Purchaser hereby represents and warrants that, it (i) as of the date hereof is, if an entity, is a “qualified institutional buyer” (as defined in Rule 144A under the Securities Act) or an institutional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Each Purchaser further represents and warrants that (x) it is capable of evaluating the merits and risk of such investment, and (y) that it has not been organized for the purpose of acquiring the Securities and is an “institutional account” as defined by FINRA Rule 4512(c). Such Purchaser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Purchaser’s representations as expressed herein.</w:t>
      </w:r>
    </w:p>
    <w:p>
      <w:pPr>
        <w:spacing w:after="0" w:line="200" w:lineRule="exact"/>
        <w:rPr>
          <w:sz w:val="20"/>
          <w:szCs w:val="20"/>
          <w:color w:val="auto"/>
        </w:rPr>
      </w:pPr>
    </w:p>
    <w:p>
      <w:pPr>
        <w:spacing w:after="0" w:line="204"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Intent</w:t>
      </w:r>
      <w:r>
        <w:rPr>
          <w:rFonts w:ascii="Times New Roman" w:cs="Times New Roman" w:eastAsia="Times New Roman" w:hAnsi="Times New Roman"/>
          <w:sz w:val="18"/>
          <w:szCs w:val="18"/>
          <w:color w:val="auto"/>
        </w:rPr>
        <w:t>. Each Purchaser is purchasing the Securities solely for investment purposes, for such Purchaser’s own account and not for the account of others, and not with a view to the resale or distribution of any part thereof in violation of the Securities Act, and the Purchaser has no present intention of selling, granting any participation in, or otherwise distributing the same in violation of the Securities Act without prejudice, however, to the Purchaser’s right at all times to sell or otherwise dispose of all or any part of such Securities in compliance with applicable federal and state securities laws. Notwithstanding the foregoing, if such Purchaser is purchasing the Securities as a fiduciary or agent for one or more investor accounts, such Purchaser has full investment discretion with respect to each such account, and the full power and authority to make the acknowledgments, representations and agreements herein on behalf of each owner of each such account. Each Purchaser has no present arrangement to sell the Securities to or through any person or entity. Each Purchaser understands that the Securities must be held indefinitely unless such Securities are resold pursuant to a registration statement under the Securities Act or an exemption from registration is available. Nothing contained herein shall be deemed a representation or warranty by such Purchaser to hold the Securities for any period of time.</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Investment Experience; Ability to Protect Its Own Interests and Bear Economic Risks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2254"/>
        <w:spacing w:after="0" w:line="261" w:lineRule="auto"/>
        <w:tabs>
          <w:tab w:leader="none" w:pos="260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Purchaser has had an opportunity to seek, and has sought, such accounting, legal, business and tax advice as such Purchaser has considered necessary to make an informed investment decision.</w:t>
      </w:r>
    </w:p>
    <w:p>
      <w:pPr>
        <w:spacing w:after="0" w:line="179" w:lineRule="exact"/>
        <w:rPr>
          <w:rFonts w:ascii="Times New Roman" w:cs="Times New Roman" w:eastAsia="Times New Roman" w:hAnsi="Times New Roman"/>
          <w:sz w:val="18"/>
          <w:szCs w:val="18"/>
          <w:color w:val="auto"/>
        </w:rPr>
      </w:pPr>
    </w:p>
    <w:p>
      <w:pPr>
        <w:jc w:val="both"/>
        <w:ind w:firstLine="2254"/>
        <w:spacing w:after="0" w:line="254" w:lineRule="auto"/>
        <w:tabs>
          <w:tab w:leader="none" w:pos="260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further acknowledges that such Purchaser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Each Purchaser acknowledges that such Purchaser is aware that there are substantial risks incident to the purchase and ownership of the Securities, including those set forth in the Company’s filings with the SEC. Alone, or together with any professional advisor(s), such Purchaser has adequately analyzed and fully considered the risks of an investment in the Securities and determined that the Securities are a suitable investment for the Purchaser. Each Purchaser is, at this time and in the foreseeable future, able to afford the loss of such Purchaser’s entire investment in the Securities and such Purchaser acknowledges specifically that a possibility of total loss exists.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jc w:val="both"/>
        <w:ind w:firstLine="1497"/>
        <w:spacing w:after="0" w:line="26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Independent Investment Decision</w:t>
      </w:r>
      <w:r>
        <w:rPr>
          <w:rFonts w:ascii="Times New Roman" w:cs="Times New Roman" w:eastAsia="Times New Roman" w:hAnsi="Times New Roman"/>
          <w:sz w:val="18"/>
          <w:szCs w:val="18"/>
          <w:color w:val="auto"/>
        </w:rPr>
        <w:t>. Such Purchaser understands that nothing in the Transaction Agreements or any other materials presented by or on behalf of the Company to such Purchaser in connection with the purchase of the Securities constitutes legal, tax or investment advice. Such Purchaser has consulted such legal, tax and investment advisors as it, in their sole discretion, has deemed necessary or appropriate in connection with its purchase of the Securities.</w:t>
      </w:r>
    </w:p>
    <w:p>
      <w:pPr>
        <w:spacing w:after="0" w:line="180"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Securities Not Registered; Legends</w:t>
      </w:r>
      <w:r>
        <w:rPr>
          <w:rFonts w:ascii="Times New Roman" w:cs="Times New Roman" w:eastAsia="Times New Roman" w:hAnsi="Times New Roman"/>
          <w:sz w:val="18"/>
          <w:szCs w:val="18"/>
          <w:color w:val="auto"/>
        </w:rPr>
        <w:t>. Such Purchaser acknowledges and agrees that the Securities are being offered in a transaction not involving any public offering within the meaning of the Securities Act, and such Purchaser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such Purchaser unless a subsequent disposition thereof is registered under the Securities Act or is exempt from such registration and in each case in accordance with any applicable securities laws of any state of the United States. Such Purchaser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such Purchaser’s control and which the Company may not be able to satisfy, and that, if applicable, Rule 144 may afford the basis for sales only in limited amounts. Such Purchaser acknowledges and agrees that it has been advised to consult legal counsel prior to making any offer, resale, transfer, pledge or disposition of any of the Securities. Such Purchaser acknowledges that no federal or state agency has passed upon or endorsed the merits of the offering of the Securities or made any findings or determination as to the fairness of this investment.</w:t>
      </w:r>
    </w:p>
    <w:p>
      <w:pPr>
        <w:spacing w:after="0" w:line="19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Each Purchaser understands that the Shares or the Common Warrant Shares may bear one or more legends in substantially the following form and substance:</w:t>
      </w:r>
    </w:p>
    <w:p>
      <w:pPr>
        <w:spacing w:after="0" w:line="162" w:lineRule="exact"/>
        <w:rPr>
          <w:sz w:val="20"/>
          <w:szCs w:val="20"/>
          <w:color w:val="auto"/>
        </w:rPr>
      </w:pPr>
    </w:p>
    <w:p>
      <w:pPr>
        <w:ind w:left="760"/>
        <w:spacing w:after="0" w:line="261"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SECURITIES ACT OF 1933. THE SECURITIES HAVE BEEN ACQUIRED FOR INVESTMENT AND MAY NOT BE SOLD, TRANSFERRED OR ASSIGNED UNLESS</w:t>
      </w:r>
    </w:p>
    <w:p>
      <w:pPr>
        <w:jc w:val="both"/>
        <w:ind w:left="760" w:hanging="3"/>
        <w:spacing w:after="0" w:line="252" w:lineRule="auto"/>
        <w:tabs>
          <w:tab w:leader="none" w:pos="107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EFFECTIVE REGISTRATION STATEMENT FOR THESE SECURITIES UNDER THE SECURITIES ACT OF 1933, (B) IN ACCORDANCE WITH RULE 144, OR (C) IN ACCORDANCE WITH ANOTHER EXEMPTION FROM REGISTRATION AS SET FORTH IN AN OPINION OF THE COMPANY’S COUNSEL.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addition, the Securities may contain a legend regarding affiliate status of the Purchaser, if applicable.</w:t>
      </w:r>
    </w:p>
    <w:p>
      <w:pPr>
        <w:spacing w:after="0" w:line="225"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Each Purchaser hereby acknowledges and agrees that (a) the Placement Agent is acting solely as placement agent in connection with the execution, delivery and performance of the Transaction Agreements and the issuance of the Securities to the Purchasers and neither the Placement Agent nor any of its Affiliates have acted as an underwriter or in any other capacity and are not and shall not be construed as a fiduciary or financial advisor for such Purchaser, the Company or any other person or entity in connection with the execution, delivery and performance of the Transaction Agreements and the issuance and purchase of the Securities, (b) the Placement Agent has not made and do not make any representation or warranty, whether express or implied, of any kind or character, and has not provided any advice or recommendation in connection with the execution, delivery and performance of the Transaction Agreements or with respect to the Securities, nor is such information or advice necessary or desired, (c) the Placement Agent will not have any responsibility with respect to (i) any representations, warranties or agreements made by any Person or entity under or in connection with the execution, delivery and performance of the Transaction Agreements, or the execution, legality, validity or enforceability (with respect to any Person) thereof, or (ii) the business, affairs, financial condition, operations, properties or prospects of, or any other matter concerning the Company. No disclosure or offering document has been prepared by the Placement Agent or any of its Affiliates in connection with the offer and sale of the Securities. Neither the Placement Agent nor any of its Affiliates have made or make any representation as to the quality or value of the Securities and the Placement Agent and any of its Affiliates may have acquired non-public information with respect to the Company which Purchaser agrees need not be provided to it.</w:t>
      </w:r>
    </w:p>
    <w:p>
      <w:pPr>
        <w:spacing w:after="0" w:line="197"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The Purchaser acknowledges and agrees that the Purchaser is purchasing the Securities directly from the Company. Purchaser became aware of this offering of the Securities solely by means of direct contact from the Placement Agent or directly from the Company as a result of a pre-existing, substantive relationship with the Company or the Placement Agent,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Purchaser solely by direct contact between Purchaser and the Company, the Placement Agent and/or their respective representatives. Purchaser did not become aware of this offering of the Securities, nor were the Securities offered to Purchaser, by any other means, and none of the Company, the Placement Agent and/or their respective representatives acted as investment advisor, broker or dealer to Purchaser. The Purchaser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presented at any seminar or any other general solicitation or general advertisement, including any of the methods described in Section 502(c) of Regulation D under the Securities Act.</w:t>
      </w:r>
    </w:p>
    <w:p>
      <w:pPr>
        <w:spacing w:after="0" w:line="162"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In making its decision to purchase the Securities, Purchaser has relied solely upon independent investigation made by Purchaser and upon the representations, warranties and covenants set forth herein. The Purchaser acknowledges and agrees that the Purchaser has received such information as the Purchaser deems necessary in order to make an investment decision with respect to the Securities, including, with respect to the Company. Without limiting the generality of the foregoing, each Purchaser acknowledges that copies of the 2025 SEC Reports are available on EDGAR at www.sec.gov. The Purchaser acknowledges and agrees that the Purchaser and the Purchaser’s professional advisor(s), if any, have had the opportunity to ask such questions, receive such answers and obtain such information from the Company regarding the Company, its business and the terms and conditions of the offering of the Securities as the Purchaser and such Purchaser’s professional advisor(s), if any, have deemed necessary to make an investment decision with respect to the Securities and that the Purchaser has independently made its own analysis and decision to invest in the Company. Neither any such inquiries nor any other due diligence investigation conducted by or on behalf of the Purchaser shall modify, limit or otherwise affect such Purchaser’s right to rely on the Company’s representations and warranties contained in this Agreement.</w:t>
      </w:r>
    </w:p>
    <w:p>
      <w:pPr>
        <w:spacing w:after="0" w:line="194"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Certain Trading Activities</w:t>
      </w:r>
      <w:r>
        <w:rPr>
          <w:rFonts w:ascii="Times New Roman" w:cs="Times New Roman" w:eastAsia="Times New Roman" w:hAnsi="Times New Roman"/>
          <w:sz w:val="18"/>
          <w:szCs w:val="18"/>
          <w:color w:val="auto"/>
        </w:rPr>
        <w:t>. Other than consummating the transaction contemplated hereby, the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was first contacted by the Company or any other Person regarding the transaction contemplated hereby and ending immediately prior to the date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the assets managed by the portfolio manager that made the investment decision to purchase the Securities covered by this Agreement. Other than to other Persons party to this Agreement and to its advisors and agents who had a need to know such information, such Purchaser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90" w:lineRule="exact"/>
        <w:rPr>
          <w:sz w:val="20"/>
          <w:szCs w:val="20"/>
          <w:color w:val="auto"/>
        </w:rPr>
      </w:pPr>
    </w:p>
    <w:p>
      <w:pPr>
        <w:jc w:val="both"/>
        <w:ind w:firstLine="1497"/>
        <w:spacing w:after="0" w:line="257"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To the extent the Purchaser is one of the covered persons identified in Rule 506(d)(1), the Purchaser represents that no disqualifying event described in Rule 506(d)(1)(i-viii) of the Securities Act (a “</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is applicable to the Purchaser or any of its Rule 506(d) Related Parties (as defined below), except, if applicable, for a Disqualification Event as to which Rule 506(d)(2)(ii) or (iii) or (d)</w:t>
      </w:r>
    </w:p>
    <w:p>
      <w:pPr>
        <w:spacing w:after="0" w:line="1" w:lineRule="exact"/>
        <w:rPr>
          <w:sz w:val="20"/>
          <w:szCs w:val="20"/>
          <w:color w:val="auto"/>
        </w:rPr>
      </w:pPr>
    </w:p>
    <w:p>
      <w:pPr>
        <w:jc w:val="both"/>
        <w:ind w:firstLine="8"/>
        <w:spacing w:after="0" w:line="253" w:lineRule="auto"/>
        <w:tabs>
          <w:tab w:leader="none" w:pos="2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applicable. The Purchaser hereby agrees that it shall notify the Company promptly in writing in the event a Disqualification Event becomes applicable to the Purchaser or any of its Rule 506(d) Related Parties, except, if applicable, for a Disqualification Event as to which Rule 506(d)(2)(ii) or (iii) or (d)(3) is applicable. For purposes of this Section, “</w:t>
      </w:r>
      <w:r>
        <w:rPr>
          <w:rFonts w:ascii="Times New Roman" w:cs="Times New Roman" w:eastAsia="Times New Roman" w:hAnsi="Times New Roman"/>
          <w:sz w:val="18"/>
          <w:szCs w:val="18"/>
          <w:b w:val="1"/>
          <w:bCs w:val="1"/>
          <w:color w:val="auto"/>
        </w:rPr>
        <w:t>Rule 506(d) Related Party</w:t>
      </w:r>
      <w:r>
        <w:rPr>
          <w:rFonts w:ascii="Times New Roman" w:cs="Times New Roman" w:eastAsia="Times New Roman" w:hAnsi="Times New Roman"/>
          <w:sz w:val="18"/>
          <w:szCs w:val="18"/>
          <w:color w:val="auto"/>
        </w:rPr>
        <w:t>” shall mean a person or entity that is a beneficial owner of the Purchaser’s securities for purposes of Rule 506(d) of the Securities Act.</w:t>
      </w:r>
    </w:p>
    <w:p>
      <w:pPr>
        <w:spacing w:after="0" w:line="189" w:lineRule="exact"/>
        <w:rPr>
          <w:sz w:val="20"/>
          <w:szCs w:val="20"/>
          <w:color w:val="auto"/>
        </w:rPr>
      </w:pPr>
    </w:p>
    <w:p>
      <w:pPr>
        <w:ind w:left="1120" w:hanging="363"/>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commercially reasonable efforts to maintain the listing and trading of its Common Stock on the Nasdaq Global Select Market and, in accordance therewith, will use reasonable best efforts to comply in all material respects with the Company’s reporting, filing and other obligations under the rules and regulations of Nasdaq. The Company shall file a Notification Form: Listing of Additional Shares, for the listing of the Shares, and the Common Warrant Shares on the Nasdaq Global Select Market on a timely basis as required by Nasdaq rules.</w:t>
      </w:r>
    </w:p>
    <w:p>
      <w:pPr>
        <w:spacing w:after="0" w:line="180"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Disclosure of Transactions</w:t>
      </w:r>
      <w:r>
        <w:rPr>
          <w:rFonts w:ascii="Times New Roman" w:cs="Times New Roman" w:eastAsia="Times New Roman" w:hAnsi="Times New Roman"/>
          <w:sz w:val="18"/>
          <w:szCs w:val="18"/>
          <w:color w:val="auto"/>
        </w:rPr>
        <w:t>. The Company shall, by 9:00 a.m., New York City time, no later than the second (2nd) business day following the date hereof, file with the SEC a Current Report on Form 8-K disclosing all material terms of the transactions contemplated hereby and by the other Transaction Agreements (and including as exhibits to such Current Report on Form 8-K the material Transaction Agreements (including, without limitation, this Agreement and the Registration Rights Agreement)). Notwithstanding anything in this Agreement to the contrary, the Company shall not publicly disclose the name of any Purchaser or any of its Affiliates or advisers, or include the name of any Purchaser or any of its Affiliates or advisers in any press release or filing with the SEC (other than any registration statement contemplated by the Registration Rights Agreement) or any regulatory agency, without the prior written consent of such Purchaser, except (i) as required by the federal securities law in connection with (A) any registration statement contemplated by the Registration Rights Agreement and (B) the filing of final Transaction Agreements (including signature pages thereto) with the SEC or pursuant to other routine proceedings of regulatory authorities, or (ii) to the extent such disclosure is required by law, at the request of the staff of the SEC or regulatory agency or under the regulations of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jc w:val="both"/>
        <w:ind w:firstLine="1497"/>
        <w:spacing w:after="0" w:line="25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Purchasers,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proceeds from the sale of the Securities for working capital and general corporate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2254"/>
        <w:spacing w:after="0" w:line="256" w:lineRule="auto"/>
        <w:tabs>
          <w:tab w:leader="none" w:pos="26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transfer of Securities other than pursuant to an effective registration statement or Rule 144, to the Company or to an Affiliate of a Purchaser or in connection with a pledge as contemplated in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w:t>
      </w:r>
    </w:p>
    <w:p>
      <w:pPr>
        <w:spacing w:after="0" w:line="187" w:lineRule="exact"/>
        <w:rPr>
          <w:rFonts w:ascii="Times New Roman" w:cs="Times New Roman" w:eastAsia="Times New Roman" w:hAnsi="Times New Roman"/>
          <w:sz w:val="18"/>
          <w:szCs w:val="18"/>
          <w:color w:val="auto"/>
        </w:rPr>
      </w:pPr>
    </w:p>
    <w:p>
      <w:pPr>
        <w:jc w:val="both"/>
        <w:ind w:firstLine="2254"/>
        <w:spacing w:after="0" w:line="254" w:lineRule="auto"/>
        <w:tabs>
          <w:tab w:leader="none" w:pos="26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thereunder.</w:t>
      </w:r>
    </w:p>
    <w:p>
      <w:pPr>
        <w:spacing w:after="0" w:line="188" w:lineRule="exact"/>
        <w:rPr>
          <w:rFonts w:ascii="Times New Roman" w:cs="Times New Roman" w:eastAsia="Times New Roman" w:hAnsi="Times New Roman"/>
          <w:sz w:val="18"/>
          <w:szCs w:val="18"/>
          <w:color w:val="auto"/>
        </w:rPr>
      </w:pPr>
    </w:p>
    <w:p>
      <w:pPr>
        <w:jc w:val="both"/>
        <w:ind w:firstLine="2254"/>
        <w:spacing w:after="0" w:line="252" w:lineRule="auto"/>
        <w:tabs>
          <w:tab w:leader="none" w:pos="26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Certificates evidencing the Shares or the Common Warrant Shares, as applicable, shall not contain any legend (including the legend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hereof), (i) while a registration statement (including the Registration Statement) covering the resale of such security is effective under the Securities Act, (ii) following any sale of such Securities pursuant to Rule 144, or (iii) if such Securities are eligible for sale under Rule 144. The Company shall cause its counsel to issue a legal opinion to the Transfer Agent or the Purchaser promptly after the effective date of the registration statement filed pursuant to the Registration Rights Agreement if required by the Transfer Agent to effect the removal of the legend hereunder, or if requested by a Purchaser, respectively. The Company agrees that following the Effective Date or at such time as such legend is no longer required under this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Request Date</w:t>
      </w:r>
      <w:r>
        <w:rPr>
          <w:rFonts w:ascii="Times New Roman" w:cs="Times New Roman" w:eastAsia="Times New Roman" w:hAnsi="Times New Roman"/>
          <w:sz w:val="18"/>
          <w:szCs w:val="18"/>
          <w:color w:val="auto"/>
        </w:rPr>
        <w:t>”), it will, no later than the earlier of (i) two (2) Trading Days and (ii) the number of Trading Days comprising the Standard Settlement Period (as defined below) following the request by a Purchaser (including delivery by a Purchaser to the Company or the Transfer Agent of a certificate representing Shares or Common Warrant Shares, as applicable, if such Shares or Common Warrant Shares are then held in certificated form, issued with a restrictive legend (such date, the “</w:t>
      </w:r>
      <w:r>
        <w:rPr>
          <w:rFonts w:ascii="Times New Roman" w:cs="Times New Roman" w:eastAsia="Times New Roman" w:hAnsi="Times New Roman"/>
          <w:sz w:val="18"/>
          <w:szCs w:val="18"/>
          <w:b w:val="1"/>
          <w:bCs w:val="1"/>
          <w:color w:val="auto"/>
        </w:rPr>
        <w:t>Legend Removal Date</w:t>
      </w:r>
      <w:r>
        <w:rPr>
          <w:rFonts w:ascii="Times New Roman" w:cs="Times New Roman" w:eastAsia="Times New Roman" w:hAnsi="Times New Roman"/>
          <w:sz w:val="18"/>
          <w:szCs w:val="18"/>
          <w:color w:val="auto"/>
        </w:rPr>
        <w:t>”), deliver or cause to be delivered to such Purchaser a book entry receipt or certificate representing such shares that is free from all restrictive and other legends. The Company may not make any notation on its records or give instructions to the Transfer Agent that enlarge the restrictions on transfer set forth in this Agreement. Shares or Common Warrant Shares subject to legend removal hereunder shall be transmitted by the Transfer Agent to the Purchaser by crediting the account of the Purchaser’s prime broker with the Depository Trust Company System as directed by such Purchaser. As used herein, “Standard Settlement Period” means the standard settlement period, expressed in a number of Trading Days, on the National Exchange with respect to the Common Stock as in effect on the Request Date.</w:t>
      </w:r>
    </w:p>
    <w:p>
      <w:pPr>
        <w:spacing w:after="0" w:line="195" w:lineRule="exact"/>
        <w:rPr>
          <w:rFonts w:ascii="Times New Roman" w:cs="Times New Roman" w:eastAsia="Times New Roman" w:hAnsi="Times New Roman"/>
          <w:sz w:val="18"/>
          <w:szCs w:val="18"/>
          <w:color w:val="auto"/>
        </w:rPr>
      </w:pPr>
    </w:p>
    <w:p>
      <w:pPr>
        <w:jc w:val="both"/>
        <w:ind w:firstLine="2254"/>
        <w:spacing w:after="0" w:line="253" w:lineRule="auto"/>
        <w:tabs>
          <w:tab w:leader="none" w:pos="26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such Purchaser’s other available remedies, the Company shall pay to a Purchaser, in cash, (i) as partial liquidated damages and not as a penalty, for each $1,000 of Securities (based on the VWAP of the Common Stock on the Request Date) for which legend removal is requested and subject to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$10 per Trading Day for each Trading Day after the Legend Removal Date until the Securities are delivered without a legend and (ii) if the Company fails to (a) issue and deliver (or cause to be delivered) to a Purchaser by the Legend Removal Date the Shares and the Common Warrant Shares, as applicable, subject to the legend removal request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jc w:val="both"/>
        <w:spacing w:after="0" w:line="268" w:lineRule="auto"/>
        <w:rPr>
          <w:sz w:val="20"/>
          <w:szCs w:val="20"/>
          <w:color w:val="auto"/>
        </w:rPr>
      </w:pPr>
      <w:r>
        <w:rPr>
          <w:rFonts w:ascii="Times New Roman" w:cs="Times New Roman" w:eastAsia="Times New Roman" w:hAnsi="Times New Roman"/>
          <w:sz w:val="18"/>
          <w:szCs w:val="18"/>
          <w:color w:val="auto"/>
        </w:rPr>
        <w:t>expenses, if any)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over the product of (A) such number of Securities that the Company was required to deliver to such Purchaser by the Legend Removal Date multiplied by (B) the lowest closing sale price of the Common Stock on any Trading Day during the period commencing on the Request Date and ending on the date of such delivery and payment under this clause (ii).</w:t>
      </w:r>
    </w:p>
    <w:p>
      <w:pPr>
        <w:spacing w:after="0" w:line="175" w:lineRule="exact"/>
        <w:rPr>
          <w:sz w:val="20"/>
          <w:szCs w:val="20"/>
          <w:color w:val="auto"/>
        </w:rPr>
      </w:pPr>
    </w:p>
    <w:p>
      <w:pPr>
        <w:jc w:val="both"/>
        <w:ind w:right="20" w:firstLine="2254"/>
        <w:spacing w:after="0" w:line="258" w:lineRule="auto"/>
        <w:tabs>
          <w:tab w:leader="none" w:pos="26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is predicated upon the Company’s reliance upon this understanding.</w:t>
      </w:r>
    </w:p>
    <w:p>
      <w:pPr>
        <w:spacing w:after="0" w:line="18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Each Purchaser agrees to furnish the Company with any information, representations and forms as shall reasonably be requested by the Company from time to time to assist the Company in complying with any applicable tax law (including any withholding obligations). Each Purchaser represents that it has provided the Company with a completed and executed Internal Revenue Service Form W-9 or applicable Form W-8, as appropriate, and agrees to promptly furnish the Company with such forms upon any expiration, obsolescence or inaccuracy of any prior forms or upon request of the Company.</w:t>
      </w:r>
    </w:p>
    <w:p>
      <w:pPr>
        <w:spacing w:after="0" w:line="183"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Fees and Taxes</w:t>
      </w:r>
      <w:r>
        <w:rPr>
          <w:rFonts w:ascii="Times New Roman" w:cs="Times New Roman" w:eastAsia="Times New Roman" w:hAnsi="Times New Roman"/>
          <w:sz w:val="18"/>
          <w:szCs w:val="18"/>
          <w:color w:val="auto"/>
        </w:rPr>
        <w:t>. The Company shall be responsible for the payment of any placement agent’s fees, financial advisory fees, or broker’s commissions (other than for Persons engaged by a Purchaser) relating to or arising out of the transactions contemplated hereby, including, without limitation, any fees or commissions payable to the Placement Agent as the Company may engage in connection with the transactions contemplated by the Transaction Agreements.</w:t>
      </w:r>
    </w:p>
    <w:p>
      <w:pPr>
        <w:spacing w:after="0" w:line="180"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Conflicting Agreements</w:t>
      </w:r>
      <w:r>
        <w:rPr>
          <w:rFonts w:ascii="Times New Roman" w:cs="Times New Roman" w:eastAsia="Times New Roman" w:hAnsi="Times New Roman"/>
          <w:sz w:val="18"/>
          <w:szCs w:val="18"/>
          <w:color w:val="auto"/>
        </w:rPr>
        <w:t>. The Company will not take any action, enter into any agreement or make any commitment that would conflict or interfere in any material respect with the Company’s obligations to the Purchasers under the Transaction Agreements.</w:t>
      </w:r>
    </w:p>
    <w:p>
      <w:pPr>
        <w:spacing w:after="0" w:line="162"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Reporting Status</w:t>
      </w:r>
      <w:r>
        <w:rPr>
          <w:rFonts w:ascii="Times New Roman" w:cs="Times New Roman" w:eastAsia="Times New Roman" w:hAnsi="Times New Roman"/>
          <w:sz w:val="18"/>
          <w:szCs w:val="18"/>
          <w:color w:val="auto"/>
        </w:rPr>
        <w:t>. The Company shall timely file all reports required to be filed with the SEC pursuant to the Exchange Act, and the Company shall not terminate its status as an issuer required to file reports under the Exchange Act even if the Exchange Act or the rules and regulations thereunder would otherwise permit such termination.</w:t>
      </w:r>
    </w:p>
    <w:p>
      <w:pPr>
        <w:spacing w:after="0" w:line="176"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b w:val="1"/>
          <w:bCs w:val="1"/>
          <w:color w:val="auto"/>
        </w:rPr>
        <w:t>Purchaser Party</w:t>
      </w:r>
      <w:r>
        <w:rPr>
          <w:rFonts w:ascii="Times New Roman" w:cs="Times New Roman" w:eastAsia="Times New Roman" w:hAnsi="Times New Roman"/>
          <w:sz w:val="18"/>
          <w:szCs w:val="18"/>
          <w:color w:val="auto"/>
        </w:rPr>
        <w:t xml:space="preserve">”)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the Transaction Agreements or (b) any action instituted against the Purchaser Parties in any capacity, or any of them or their respective Affiliates, by any stockholder of the Company who is not an Affiliate of such Purchaser Party, with respect to any of the transactions contemplated by the Transaction Agreements (unless such action is solely based upon a material breach of such Purchaser Party’s representations, warranties or covenants under the Transaction Agreements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the Transaction Agreements. The indemnification required by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Subsequent Equity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ind w:right="20" w:firstLine="1505"/>
        <w:spacing w:after="0" w:line="282" w:lineRule="auto"/>
        <w:tabs>
          <w:tab w:leader="none" w:pos="185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after the MICVO Data Disclosure (as defined below), neither the Company nor any Subsidiary shall issue, enter into any agreement to issue or announce the issuance or proposed issuance of any shares of Common Stock or Common Stock Equivalents.</w:t>
      </w:r>
    </w:p>
    <w:p>
      <w:pPr>
        <w:spacing w:after="0" w:line="16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shall not apply in respect of an Exempt Issuance.</w:t>
      </w:r>
    </w:p>
    <w:p>
      <w:pPr>
        <w:spacing w:after="0" w:line="22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Agreement) shall be offered or paid to any Person to amend or consent to a waiver or modification of any provision of any Transaction Agreement unless the same consideration is also offered to all of the parties to the Transaction Agreements.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Disclosure of Clinical Data</w:t>
      </w:r>
      <w:r>
        <w:rPr>
          <w:rFonts w:ascii="Times New Roman" w:cs="Times New Roman" w:eastAsia="Times New Roman" w:hAnsi="Times New Roman"/>
          <w:sz w:val="18"/>
          <w:szCs w:val="18"/>
          <w:color w:val="auto"/>
        </w:rPr>
        <w:t>. The Company shall on the date on which it first publicly discloses clinical data from its micvotabart pelidotin (MICVO) Phase 1 monotherapy study in 2L+ Recurrent/Metastatic Head and Neck Squamous Cell Carcinoma (R/M HNSCC) (the “</w:t>
      </w:r>
      <w:r>
        <w:rPr>
          <w:rFonts w:ascii="Times New Roman" w:cs="Times New Roman" w:eastAsia="Times New Roman" w:hAnsi="Times New Roman"/>
          <w:sz w:val="18"/>
          <w:szCs w:val="18"/>
          <w:b w:val="1"/>
          <w:bCs w:val="1"/>
          <w:color w:val="auto"/>
        </w:rPr>
        <w:t>MICVO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Data Disclosure</w:t>
      </w:r>
      <w:r>
        <w:rPr>
          <w:rFonts w:ascii="Times New Roman" w:cs="Times New Roman" w:eastAsia="Times New Roman" w:hAnsi="Times New Roman"/>
          <w:sz w:val="18"/>
          <w:szCs w:val="18"/>
          <w:color w:val="auto"/>
        </w:rPr>
        <w:t>”), disclose all material non-public information, if any, concerning the Company or any Subsidiary that was provided to any Purchaser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on behalf of the Company, any Subsidiary, the Placement Agent or any of its respective representatives in connection with the Transaction.</w:t>
      </w:r>
    </w:p>
    <w:p>
      <w:pPr>
        <w:spacing w:after="0" w:line="180" w:lineRule="exact"/>
        <w:rPr>
          <w:sz w:val="20"/>
          <w:szCs w:val="20"/>
          <w:color w:val="auto"/>
        </w:rPr>
      </w:pPr>
    </w:p>
    <w:p>
      <w:pPr>
        <w:ind w:left="1120" w:hanging="363"/>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Conditions to the Obligation of the Purchasers</w:t>
      </w:r>
      <w:r>
        <w:rPr>
          <w:rFonts w:ascii="Times New Roman" w:cs="Times New Roman" w:eastAsia="Times New Roman" w:hAnsi="Times New Roman"/>
          <w:sz w:val="18"/>
          <w:szCs w:val="18"/>
          <w:color w:val="auto"/>
        </w:rPr>
        <w:t>. The several obligations of each Purchaser to consummate the transactions to be consummated at the Closing, and to purchase and pay for the Securities being purchased by it at the Closing pursuant to this Agreement, are subject to the satisfaction or waiver in writing of the following conditions precedent:</w:t>
      </w:r>
    </w:p>
    <w:p>
      <w:pPr>
        <w:spacing w:after="0" w:line="176" w:lineRule="exact"/>
        <w:rPr>
          <w:sz w:val="20"/>
          <w:szCs w:val="20"/>
          <w:color w:val="auto"/>
        </w:rPr>
      </w:pPr>
    </w:p>
    <w:p>
      <w:pPr>
        <w:jc w:val="both"/>
        <w:ind w:firstLine="2254"/>
        <w:spacing w:after="0" w:line="258" w:lineRule="auto"/>
        <w:tabs>
          <w:tab w:leader="none" w:pos="260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Company contained herein shall be true and correct in all material respects, except for those representation and warranties qualified by materiality or Material Adverse Effect, which shall be true and correct in all respects, as of the date hereof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w:t>
      </w:r>
    </w:p>
    <w:p>
      <w:pPr>
        <w:spacing w:after="0" w:line="183" w:lineRule="exact"/>
        <w:rPr>
          <w:rFonts w:ascii="Times New Roman" w:cs="Times New Roman" w:eastAsia="Times New Roman" w:hAnsi="Times New Roman"/>
          <w:sz w:val="18"/>
          <w:szCs w:val="18"/>
          <w:color w:val="auto"/>
        </w:rPr>
      </w:pPr>
    </w:p>
    <w:p>
      <w:pPr>
        <w:ind w:right="20" w:firstLine="2254"/>
        <w:spacing w:after="0" w:line="282" w:lineRule="auto"/>
        <w:tabs>
          <w:tab w:leader="none" w:pos="260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The Company shall have performed in all material respects the obligations and conditions herein required to be performed or observed by the Company on or prior to the Closing Date.</w:t>
      </w:r>
    </w:p>
    <w:p>
      <w:pPr>
        <w:spacing w:after="0" w:line="161" w:lineRule="exact"/>
        <w:rPr>
          <w:rFonts w:ascii="Times New Roman" w:cs="Times New Roman" w:eastAsia="Times New Roman" w:hAnsi="Times New Roman"/>
          <w:sz w:val="18"/>
          <w:szCs w:val="18"/>
          <w:color w:val="auto"/>
        </w:rPr>
      </w:pPr>
    </w:p>
    <w:p>
      <w:pPr>
        <w:ind w:firstLine="2254"/>
        <w:spacing w:after="0" w:line="282" w:lineRule="auto"/>
        <w:tabs>
          <w:tab w:leader="none" w:pos="260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The purchase of and payment for the Securities by each Purchaser shall not be prohibited or enjoined by any law or governmental or court order or regulation and no such prohibition shall have been threatened in writing.</w:t>
      </w:r>
    </w:p>
    <w:p>
      <w:pPr>
        <w:spacing w:after="0" w:line="161" w:lineRule="exact"/>
        <w:rPr>
          <w:rFonts w:ascii="Times New Roman" w:cs="Times New Roman" w:eastAsia="Times New Roman" w:hAnsi="Times New Roman"/>
          <w:sz w:val="18"/>
          <w:szCs w:val="18"/>
          <w:color w:val="auto"/>
        </w:rPr>
      </w:pPr>
    </w:p>
    <w:p>
      <w:pPr>
        <w:ind w:firstLine="2254"/>
        <w:spacing w:after="0" w:line="282" w:lineRule="auto"/>
        <w:tabs>
          <w:tab w:leader="none" w:pos="264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The Company shall have obtained any and all consents, permits, approvals, registrations and waivers necessary for the consummation of the purchase and sale of the Securities, all of which shall be in full force and effect.</w:t>
      </w:r>
    </w:p>
    <w:p>
      <w:pPr>
        <w:spacing w:after="0" w:line="161"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shall have furnished all required materials to the Transfer Agent to reflect the issuance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at the Closing.</w:t>
      </w:r>
    </w:p>
    <w:p>
      <w:pPr>
        <w:spacing w:after="0" w:line="206" w:lineRule="exact"/>
        <w:rPr>
          <w:rFonts w:ascii="Times New Roman" w:cs="Times New Roman" w:eastAsia="Times New Roman" w:hAnsi="Times New Roman"/>
          <w:sz w:val="18"/>
          <w:szCs w:val="18"/>
          <w:color w:val="auto"/>
        </w:rPr>
      </w:pPr>
    </w:p>
    <w:p>
      <w:pPr>
        <w:ind w:firstLine="2254"/>
        <w:spacing w:after="0" w:line="282" w:lineRule="auto"/>
        <w:tabs>
          <w:tab w:leader="none" w:pos="26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Adverse Changes</w:t>
      </w:r>
      <w:r>
        <w:rPr>
          <w:rFonts w:ascii="Times New Roman" w:cs="Times New Roman" w:eastAsia="Times New Roman" w:hAnsi="Times New Roman"/>
          <w:sz w:val="18"/>
          <w:szCs w:val="18"/>
          <w:color w:val="auto"/>
        </w:rPr>
        <w:t>. Since the date hereof, no event or series of events shall have occurred that has had or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jc w:val="both"/>
        <w:ind w:firstLine="2254"/>
        <w:spacing w:after="0" w:line="266" w:lineRule="auto"/>
        <w:tabs>
          <w:tab w:leader="none" w:pos="26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Company Counsel</w:t>
      </w:r>
      <w:r>
        <w:rPr>
          <w:rFonts w:ascii="Times New Roman" w:cs="Times New Roman" w:eastAsia="Times New Roman" w:hAnsi="Times New Roman"/>
          <w:sz w:val="18"/>
          <w:szCs w:val="18"/>
          <w:color w:val="auto"/>
        </w:rPr>
        <w:t>. The Company shall have delivered to the Purchasers and the Placement Agent the opinion of Sidley Austin LLP, dated as of the Closing Date in customary form and substance to be reasonably agreed upon with the Purchasers and addressing such legal matters as the Purchasers and the Company reasonably agree.</w:t>
      </w:r>
    </w:p>
    <w:p>
      <w:pPr>
        <w:spacing w:after="0" w:line="175" w:lineRule="exact"/>
        <w:rPr>
          <w:rFonts w:ascii="Times New Roman" w:cs="Times New Roman" w:eastAsia="Times New Roman" w:hAnsi="Times New Roman"/>
          <w:sz w:val="18"/>
          <w:szCs w:val="18"/>
          <w:color w:val="auto"/>
        </w:rPr>
      </w:pPr>
    </w:p>
    <w:p>
      <w:pPr>
        <w:jc w:val="both"/>
        <w:ind w:firstLine="2254"/>
        <w:spacing w:after="0" w:line="266" w:lineRule="auto"/>
        <w:tabs>
          <w:tab w:leader="none" w:pos="2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An authorized officer of the Company shall have delivered to the Purchasers at the Closing Date a certificate certifying that the conditions specified in </w:t>
      </w:r>
      <w:r>
        <w:rPr>
          <w:rFonts w:ascii="Times New Roman" w:cs="Times New Roman" w:eastAsia="Times New Roman" w:hAnsi="Times New Roman"/>
          <w:sz w:val="18"/>
          <w:szCs w:val="18"/>
          <w:u w:val="single" w:color="auto"/>
          <w:color w:val="auto"/>
        </w:rPr>
        <w:t>Sections 6.1(a) (Representations and Warranties)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6.1(b)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6.1(c) (No Injunction)</w:t>
      </w:r>
      <w:r>
        <w:rPr>
          <w:rFonts w:ascii="Times New Roman" w:cs="Times New Roman" w:eastAsia="Times New Roman" w:hAnsi="Times New Roman"/>
          <w:sz w:val="18"/>
          <w:szCs w:val="18"/>
          <w:color w:val="auto"/>
        </w:rPr>
        <w:t xml:space="preserve"> and 6.1(k) (Listing Requirements) of this Agreement have been fulfilled.</w:t>
      </w:r>
    </w:p>
    <w:p>
      <w:pPr>
        <w:spacing w:after="0" w:line="175" w:lineRule="exact"/>
        <w:rPr>
          <w:rFonts w:ascii="Times New Roman" w:cs="Times New Roman" w:eastAsia="Times New Roman" w:hAnsi="Times New Roman"/>
          <w:sz w:val="18"/>
          <w:szCs w:val="18"/>
          <w:color w:val="auto"/>
        </w:rPr>
      </w:pPr>
    </w:p>
    <w:p>
      <w:pPr>
        <w:jc w:val="both"/>
        <w:ind w:firstLine="2254"/>
        <w:spacing w:after="0" w:line="261" w:lineRule="auto"/>
        <w:tabs>
          <w:tab w:leader="none" w:pos="2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The Secretary of the Company shall have delivered to the Purchasers at the Closing Date a certificate certifying (i) the Amended and Restated Certificate of Incorporation; (ii) the Amended and Restated Bylaws; and (iii) resolutions of the Company’s Board of Directors (or an authorized committee thereof) approving this Agreement, the other Transaction Agreements, the transactions contemplated by this Agreement and the issuance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170180</wp:posOffset>
            </wp:positionH>
            <wp:positionV relativeFrom="paragraph">
              <wp:posOffset>-722630</wp:posOffset>
            </wp:positionV>
            <wp:extent cx="13963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9636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ind w:right="20" w:firstLine="2254"/>
        <w:spacing w:after="0" w:line="282" w:lineRule="auto"/>
        <w:tabs>
          <w:tab w:leader="none" w:pos="260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The Company shall have executed and delivered the Registration Rights Agreement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to the Purchasers.</w:t>
      </w:r>
    </w:p>
    <w:p>
      <w:pPr>
        <w:spacing w:after="0" w:line="161" w:lineRule="exact"/>
        <w:rPr>
          <w:rFonts w:ascii="Times New Roman" w:cs="Times New Roman" w:eastAsia="Times New Roman" w:hAnsi="Times New Roman"/>
          <w:sz w:val="18"/>
          <w:szCs w:val="18"/>
          <w:color w:val="auto"/>
        </w:rPr>
      </w:pPr>
    </w:p>
    <w:p>
      <w:pPr>
        <w:jc w:val="both"/>
        <w:ind w:firstLine="2254"/>
        <w:spacing w:after="0" w:line="258" w:lineRule="auto"/>
        <w:tabs>
          <w:tab w:leader="none" w:pos="2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Requirements</w:t>
      </w:r>
      <w:r>
        <w:rPr>
          <w:rFonts w:ascii="Times New Roman" w:cs="Times New Roman" w:eastAsia="Times New Roman" w:hAnsi="Times New Roman"/>
          <w:sz w:val="18"/>
          <w:szCs w:val="18"/>
          <w:color w:val="auto"/>
        </w:rPr>
        <w:t>. No stop order or suspension of trading shall have been imposed by Nasdaq, the SEC or any other governmental or regulatory body with respect to public trading in the Common Stock. The Common Stock shall be listed on a National Exchange and shall not have been suspended, as of the Closing Date, by the SEC or the National Exchange from trading thereon nor shall suspension by the SEC or the National Exchange have been threatened, as of the Closing Date, in writing by the SEC or the National Exchange; and the Company shall have filed with Nasdaq a Notification Form: Listing of Additional Shares for the listing of the Shares and the Common Warrant Shares.</w:t>
      </w:r>
    </w:p>
    <w:p>
      <w:pPr>
        <w:spacing w:after="0" w:line="183" w:lineRule="exact"/>
        <w:rPr>
          <w:rFonts w:ascii="Times New Roman" w:cs="Times New Roman" w:eastAsia="Times New Roman" w:hAnsi="Times New Roman"/>
          <w:sz w:val="18"/>
          <w:szCs w:val="18"/>
          <w:color w:val="auto"/>
        </w:rPr>
      </w:pPr>
    </w:p>
    <w:p>
      <w:pPr>
        <w:jc w:val="both"/>
        <w:ind w:firstLine="2254"/>
        <w:spacing w:after="0" w:line="266" w:lineRule="auto"/>
        <w:tabs>
          <w:tab w:leader="none" w:pos="260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judgment, writ, order, injunction, award or decree of or by any court, or judge, justice or magistrate, including any bankruptcy court or judge, or any order of or by any Governmental Entity, shall have been issued, and no action or proceeding shall have been instituted by any Governmental Entity, enjoining or preventing the consummation of the transactions contemplated hereby or in the other Transaction Agreements.</w:t>
      </w:r>
    </w:p>
    <w:p>
      <w:pPr>
        <w:spacing w:after="0" w:line="176"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Conditions to the Obligation of the Company</w:t>
      </w:r>
      <w:r>
        <w:rPr>
          <w:rFonts w:ascii="Times New Roman" w:cs="Times New Roman" w:eastAsia="Times New Roman" w:hAnsi="Times New Roman"/>
          <w:sz w:val="18"/>
          <w:szCs w:val="18"/>
          <w:color w:val="auto"/>
        </w:rPr>
        <w:t>. The obligation of the Company to consummate the transactions to be consummated at the Closing, and to issue and sell to each Purchaser the Securities to be purchased by it at the Closing pursuant to this Agreement, is subject to the satisfaction or waiver in writing of the following conditions precedent:</w:t>
      </w:r>
    </w:p>
    <w:p>
      <w:pPr>
        <w:spacing w:after="0" w:line="176" w:lineRule="exact"/>
        <w:rPr>
          <w:sz w:val="20"/>
          <w:szCs w:val="20"/>
          <w:color w:val="auto"/>
        </w:rPr>
      </w:pPr>
    </w:p>
    <w:p>
      <w:pPr>
        <w:jc w:val="both"/>
        <w:ind w:firstLine="2254"/>
        <w:spacing w:after="0" w:line="261" w:lineRule="auto"/>
        <w:tabs>
          <w:tab w:leader="none" w:pos="260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each Purchaser in Section 4 hereto shall be true and correct on and as of the Closing Date, with the same force and effect as though made on and as of the Closing Date and consummation of the Closing shall constitute a reaffirmation by the Purchaser of each of the representations, warranties, covenants and agreements of the Purchaser contained in this Agreement as of the Closing Date.</w:t>
      </w:r>
    </w:p>
    <w:p>
      <w:pPr>
        <w:spacing w:after="0" w:line="179" w:lineRule="exact"/>
        <w:rPr>
          <w:rFonts w:ascii="Times New Roman" w:cs="Times New Roman" w:eastAsia="Times New Roman" w:hAnsi="Times New Roman"/>
          <w:sz w:val="18"/>
          <w:szCs w:val="18"/>
          <w:color w:val="auto"/>
        </w:rPr>
      </w:pPr>
    </w:p>
    <w:p>
      <w:pPr>
        <w:ind w:firstLine="2254"/>
        <w:spacing w:after="0" w:line="282" w:lineRule="auto"/>
        <w:tabs>
          <w:tab w:leader="none" w:pos="263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Each Purchaser shall have performed or complied with in all material respects all obligations and conditions herein required to be performed or observed by such Purchaser on or prior to the Closing Date.</w:t>
      </w:r>
    </w:p>
    <w:p>
      <w:pPr>
        <w:spacing w:after="0" w:line="161" w:lineRule="exact"/>
        <w:rPr>
          <w:rFonts w:ascii="Times New Roman" w:cs="Times New Roman" w:eastAsia="Times New Roman" w:hAnsi="Times New Roman"/>
          <w:sz w:val="18"/>
          <w:szCs w:val="18"/>
          <w:color w:val="auto"/>
        </w:rPr>
      </w:pPr>
    </w:p>
    <w:p>
      <w:pPr>
        <w:ind w:right="20" w:firstLine="2254"/>
        <w:spacing w:after="0" w:line="282" w:lineRule="auto"/>
        <w:tabs>
          <w:tab w:leader="none" w:pos="2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Injunction</w:t>
      </w:r>
      <w:r>
        <w:rPr>
          <w:rFonts w:ascii="Times New Roman" w:cs="Times New Roman" w:eastAsia="Times New Roman" w:hAnsi="Times New Roman"/>
          <w:sz w:val="18"/>
          <w:szCs w:val="18"/>
          <w:color w:val="auto"/>
        </w:rPr>
        <w:t>. The purchase of and payment for the Securities by each Purchaser shall not be prohibited or enjoined by any law or governmental or court order or regulation.</w:t>
      </w:r>
    </w:p>
    <w:p>
      <w:pPr>
        <w:spacing w:after="0" w:line="161" w:lineRule="exact"/>
        <w:rPr>
          <w:rFonts w:ascii="Times New Roman" w:cs="Times New Roman" w:eastAsia="Times New Roman" w:hAnsi="Times New Roman"/>
          <w:sz w:val="18"/>
          <w:szCs w:val="18"/>
          <w:color w:val="auto"/>
        </w:rPr>
      </w:pPr>
    </w:p>
    <w:p>
      <w:pPr>
        <w:ind w:firstLine="2254"/>
        <w:spacing w:after="0" w:line="282" w:lineRule="auto"/>
        <w:tabs>
          <w:tab w:leader="none" w:pos="260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Each Purchaser shall have executed and delivered the Registration Rights Agreement, including the Purchaser Questionnaire appended thereto, to the Company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2254"/>
        <w:spacing w:after="0" w:line="282" w:lineRule="auto"/>
        <w:tabs>
          <w:tab w:leader="none" w:pos="263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The Company shall have received payment, by wire transfer of immediately available funds, in the full amount of the purchase price for the number of Securities being purchased by each Purchaser at the Closing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.The obligations of the Company, on the one hand, and the Purchaser, on the other hand, to effect the Closing shall terminate as follows:</w:t>
      </w:r>
    </w:p>
    <w:p>
      <w:pPr>
        <w:spacing w:after="0" w:line="162" w:lineRule="exact"/>
        <w:rPr>
          <w:sz w:val="20"/>
          <w:szCs w:val="20"/>
          <w:color w:val="auto"/>
        </w:rPr>
      </w:pPr>
    </w:p>
    <w:p>
      <w:pPr>
        <w:ind w:left="2620" w:hanging="366"/>
        <w:spacing w:after="0"/>
        <w:tabs>
          <w:tab w:leader="none" w:pos="2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mutual written consent of the Company and the Purchaser prior to the Closing;</w:t>
      </w:r>
    </w:p>
    <w:p>
      <w:pPr>
        <w:spacing w:after="0" w:line="225" w:lineRule="exact"/>
        <w:rPr>
          <w:rFonts w:ascii="Times New Roman" w:cs="Times New Roman" w:eastAsia="Times New Roman" w:hAnsi="Times New Roman"/>
          <w:sz w:val="18"/>
          <w:szCs w:val="18"/>
          <w:color w:val="auto"/>
        </w:rPr>
      </w:pPr>
    </w:p>
    <w:p>
      <w:pPr>
        <w:ind w:firstLine="2254"/>
        <w:spacing w:after="0" w:line="282" w:lineRule="auto"/>
        <w:tabs>
          <w:tab w:leader="none" w:pos="260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any of the conditions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have become incapable of fulfillment, and shall not have been waived by the Company;</w:t>
      </w:r>
    </w:p>
    <w:p>
      <w:pPr>
        <w:spacing w:after="0" w:line="161" w:lineRule="exact"/>
        <w:rPr>
          <w:rFonts w:ascii="Times New Roman" w:cs="Times New Roman" w:eastAsia="Times New Roman" w:hAnsi="Times New Roman"/>
          <w:sz w:val="18"/>
          <w:szCs w:val="18"/>
          <w:color w:val="auto"/>
        </w:rPr>
      </w:pPr>
    </w:p>
    <w:p>
      <w:pPr>
        <w:ind w:right="20" w:firstLine="2254"/>
        <w:spacing w:after="0" w:line="282" w:lineRule="auto"/>
        <w:tabs>
          <w:tab w:leader="none" w:pos="260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Purchaser, if any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have become incapable of fulfillment, and shall not have been waived by the Purchaser; or</w:t>
      </w:r>
    </w:p>
    <w:p>
      <w:pPr>
        <w:spacing w:after="0" w:line="161"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the Purchaser if the Closing has not occurred on or prior to the fifth Trading Day following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this Agreement;</w:t>
      </w:r>
    </w:p>
    <w:p>
      <w:pPr>
        <w:spacing w:after="0" w:line="207"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provided, however, that, except in the case of clauses (ii) and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In the event of termination by the Company or the Purchaser of its obligations to effect the Closing pursuant to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7.1</w:t>
      </w:r>
      <w:r>
        <w:rPr>
          <w:rFonts w:ascii="Times New Roman" w:cs="Times New Roman" w:eastAsia="Times New Roman" w:hAnsi="Times New Roman"/>
          <w:sz w:val="18"/>
          <w:szCs w:val="18"/>
          <w:color w:val="auto"/>
        </w:rPr>
        <w:t xml:space="preserve">, written notice thereof shall be given to the other party. Nothing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deemed to release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line="282" w:lineRule="auto"/>
        <w:rPr>
          <w:sz w:val="20"/>
          <w:szCs w:val="20"/>
          <w:color w:val="auto"/>
        </w:rPr>
      </w:pPr>
      <w:r>
        <w:rPr>
          <w:rFonts w:ascii="Times New Roman" w:cs="Times New Roman" w:eastAsia="Times New Roman" w:hAnsi="Times New Roman"/>
          <w:sz w:val="18"/>
          <w:szCs w:val="18"/>
          <w:color w:val="auto"/>
        </w:rPr>
        <w:t>party from any liability for any breach by such party of the other terms and provisions of the Transaction Agreements or to impair the right of any party to compel specific performance by any other party of its other obligations under the Transaction Agreements.</w:t>
      </w:r>
    </w:p>
    <w:p>
      <w:pPr>
        <w:spacing w:after="0" w:line="162" w:lineRule="exact"/>
        <w:rPr>
          <w:sz w:val="20"/>
          <w:szCs w:val="20"/>
          <w:color w:val="auto"/>
        </w:rPr>
      </w:pPr>
    </w:p>
    <w:p>
      <w:pPr>
        <w:ind w:left="1120" w:hanging="363"/>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Public Statements or Releases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neither the Company nor any Purchaser shall make any public announcement with respect to the existence or terms of this Agreement or the transactions provided for herein without the prior consent of the other party (which consent shall not be unreasonably withheld). Notwithstanding the foregoing, and subject to compliance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Purchaser reasonable time to comment on such release or announcement in advance of such issuance. The Company shall not include the name of the Purchaser in any press release or public announcement (which, for the avoidance of doubt, shall not include any filing with the SEC) without the prior written consent of the Purchaser, except as otherwise required by law or the applicable rules or regulations of any securities exchange or securities market, in which case the Company shall allow the Purchaser, to the extent reasonably practicable in the circumstances, reasonable time to comment on such release or announcement in advance of such issuance.</w:t>
      </w:r>
    </w:p>
    <w:p>
      <w:pPr>
        <w:spacing w:after="0" w:line="194"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words “hereof,” “herein” and “hereunder” and words of similar import when used in this Agreement will refer to this Agreement as a whole and not to any particular provision of this Agreement, and section and subsection references are to this Agreement unless otherwise specified. The headings in this Agreement are included for convenience of reference only and will not limit or otherwise affect the meaning or interpretation of this Agreement. Whenever the words “include,” “includes” or “including” are used in this Agreement, they will be deemed to be followed by the words “without limitation.” The phrases “the date of this Agreement,” “the date hereof” and terms of similar import, unless the context otherwise requires, will be deemed to refer to the date set forth in the first paragraph of this Agreement. The meanings given to terms defined herein will be equally applicable to both the singular and plural forms of such terms. All matters to be agreed to by any party hereto must be agreed to in writing by such party unless otherwise indicated herein. References to agreements, policies, standards, guidelines or instruments, or to statutes or regulations, are to such agreements, policies, standards, guidelines or instruments, or statutes or regulations, as amended or supplemented from time to time (or to successors thereto).</w:t>
      </w:r>
    </w:p>
    <w:p>
      <w:pPr>
        <w:spacing w:after="0" w:line="194"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spacing w:after="0" w:line="183" w:lineRule="exact"/>
        <w:rPr>
          <w:sz w:val="20"/>
          <w:szCs w:val="20"/>
          <w:color w:val="auto"/>
        </w:rPr>
      </w:pPr>
    </w:p>
    <w:p>
      <w:pPr>
        <w:ind w:left="2260"/>
        <w:spacing w:after="0"/>
        <w:tabs>
          <w:tab w:leader="none" w:pos="26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If to the Company, addressed as follows:</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Pyxis Oncology, Inc.</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321 Harrison Avenue</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11th Floor, Suite 1</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Boston, MA 02118</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Attention: Thomas Civik</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with a copy (which shall not constitute notice):</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2850 Quarry Lake Drive, Suite 280</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Baltimore, MD 21209</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Attention: Asher Rubin</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firstLine="2254"/>
        <w:spacing w:after="0" w:line="282" w:lineRule="auto"/>
        <w:tabs>
          <w:tab w:leader="none" w:pos="26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Purchaser, at its address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Any Person may change the address to which notices and communications to it are to be addressed by notification as provided for herein.</w:t>
      </w:r>
    </w:p>
    <w:p>
      <w:pPr>
        <w:spacing w:after="0" w:line="225" w:lineRule="exact"/>
        <w:rPr>
          <w:sz w:val="20"/>
          <w:szCs w:val="20"/>
          <w:color w:val="auto"/>
        </w:rPr>
      </w:pPr>
    </w:p>
    <w:p>
      <w:pPr>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Agreement is held unenforceable or in conflict with the applicable laws or regulations of any jurisdiction, the invalid or unenforceable part or provisions shall be replaced with a provision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line="282" w:lineRule="auto"/>
        <w:rPr>
          <w:sz w:val="20"/>
          <w:szCs w:val="20"/>
          <w:color w:val="auto"/>
        </w:rPr>
      </w:pPr>
      <w:r>
        <w:rPr>
          <w:rFonts w:ascii="Times New Roman" w:cs="Times New Roman" w:eastAsia="Times New Roman" w:hAnsi="Times New Roman"/>
          <w:sz w:val="18"/>
          <w:szCs w:val="18"/>
          <w:color w:val="auto"/>
        </w:rPr>
        <w:t>accomplishes, to the extent possible, the original business purpose of such part or provision in a valid and enforceable manner, and the remainder of this Agreement shall remain binding upon the parties hereto.</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Governing Law; Submission to Jurisdiction; Venue; Waiver of Trial by Jury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2254"/>
        <w:spacing w:after="0" w:line="266" w:lineRule="auto"/>
        <w:tabs>
          <w:tab w:leader="none" w:pos="260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without regard to choice of laws or conflicts of laws provisions thereof that would require the application of the laws of any other jurisdiction, except to the extent that mandatory principles of Delaware law may apply.</w:t>
      </w:r>
    </w:p>
    <w:p>
      <w:pPr>
        <w:spacing w:after="0" w:line="175"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Purchasers hereby irrevocably and unconditionally:</w:t>
      </w:r>
    </w:p>
    <w:p>
      <w:pPr>
        <w:spacing w:after="0" w:line="225" w:lineRule="exact"/>
        <w:rPr>
          <w:sz w:val="20"/>
          <w:szCs w:val="20"/>
          <w:color w:val="auto"/>
        </w:rPr>
      </w:pPr>
    </w:p>
    <w:p>
      <w:pPr>
        <w:jc w:val="both"/>
        <w:ind w:firstLine="2254"/>
        <w:spacing w:after="0" w:line="266" w:lineRule="auto"/>
        <w:tabs>
          <w:tab w:leader="none" w:pos="26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solely to this Agreement or the transactions contemplated hereby, to the general jurisdiction of the any state court or United States Federal court sitting in the City of New York in the State of New York;</w:t>
      </w:r>
    </w:p>
    <w:p>
      <w:pPr>
        <w:spacing w:after="0" w:line="175" w:lineRule="exact"/>
        <w:rPr>
          <w:rFonts w:ascii="Times New Roman" w:cs="Times New Roman" w:eastAsia="Times New Roman" w:hAnsi="Times New Roman"/>
          <w:sz w:val="18"/>
          <w:szCs w:val="18"/>
          <w:color w:val="auto"/>
        </w:rPr>
      </w:pPr>
    </w:p>
    <w:p>
      <w:pPr>
        <w:jc w:val="both"/>
        <w:ind w:firstLine="2254"/>
        <w:spacing w:after="0" w:line="266" w:lineRule="auto"/>
        <w:tabs>
          <w:tab w:leader="none" w:pos="26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spacing w:after="0" w:line="175" w:lineRule="exact"/>
        <w:rPr>
          <w:rFonts w:ascii="Times New Roman" w:cs="Times New Roman" w:eastAsia="Times New Roman" w:hAnsi="Times New Roman"/>
          <w:sz w:val="18"/>
          <w:szCs w:val="18"/>
          <w:color w:val="auto"/>
        </w:rPr>
      </w:pPr>
    </w:p>
    <w:p>
      <w:pPr>
        <w:jc w:val="both"/>
        <w:ind w:firstLine="2254"/>
        <w:spacing w:after="0" w:line="266" w:lineRule="auto"/>
        <w:tabs>
          <w:tab w:leader="none" w:pos="26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or at such other address of which the other party shall have been notified pursuant thereto;</w:t>
      </w:r>
    </w:p>
    <w:p>
      <w:pPr>
        <w:spacing w:after="0" w:line="175" w:lineRule="exact"/>
        <w:rPr>
          <w:rFonts w:ascii="Times New Roman" w:cs="Times New Roman" w:eastAsia="Times New Roman" w:hAnsi="Times New Roman"/>
          <w:sz w:val="18"/>
          <w:szCs w:val="18"/>
          <w:color w:val="auto"/>
        </w:rPr>
      </w:pPr>
    </w:p>
    <w:p>
      <w:pPr>
        <w:jc w:val="both"/>
        <w:ind w:firstLine="2254"/>
        <w:spacing w:after="0" w:line="266" w:lineRule="auto"/>
        <w:tabs>
          <w:tab w:leader="none" w:pos="26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spacing w:after="0" w:line="175" w:lineRule="exact"/>
        <w:rPr>
          <w:rFonts w:ascii="Times New Roman" w:cs="Times New Roman" w:eastAsia="Times New Roman" w:hAnsi="Times New Roman"/>
          <w:sz w:val="18"/>
          <w:szCs w:val="18"/>
          <w:color w:val="auto"/>
        </w:rPr>
      </w:pPr>
    </w:p>
    <w:p>
      <w:pPr>
        <w:jc w:val="both"/>
        <w:ind w:firstLine="2254"/>
        <w:spacing w:after="0" w:line="266" w:lineRule="auto"/>
        <w:tabs>
          <w:tab w:leader="none" w:pos="26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spacing w:after="0" w:line="175" w:lineRule="exact"/>
        <w:rPr>
          <w:rFonts w:ascii="Times New Roman" w:cs="Times New Roman" w:eastAsia="Times New Roman" w:hAnsi="Times New Roman"/>
          <w:sz w:val="18"/>
          <w:szCs w:val="18"/>
          <w:color w:val="auto"/>
        </w:rPr>
      </w:pPr>
    </w:p>
    <w:p>
      <w:pPr>
        <w:jc w:val="both"/>
        <w:ind w:firstLine="2254"/>
        <w:spacing w:after="0" w:line="266" w:lineRule="auto"/>
        <w:tabs>
          <w:tab w:leader="none" w:pos="26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spacing w:after="0" w:line="175"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and unconditionally waives trial by jury in any legal action or proceeding in relation to this Agreement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w:t>
      </w:r>
    </w:p>
    <w:p>
      <w:pPr>
        <w:spacing w:after="0" w:line="207"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7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Purchasers. The Company shall pay all Placement Agent’s fees relating to or arising out of the transactions contemplated by this Agreement. In addition, at the Closing the Company shall reimburse the reasonable and documented fees and expenses of one outside counsel to BVF Partners L.P. incurred in connection with the transactions contemplated by the Transaction Agreements, in an amount not to exceed $50,000 in the aggregate.</w:t>
      </w:r>
    </w:p>
    <w:p>
      <w:pPr>
        <w:spacing w:after="0" w:line="192"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The Company shall not have the right to assign its rights or obligations under this Agreement or designate another person (a) to perform all or part of its obligations under this Agreement or (b) to have all or part of its rights and benefits under this Agreement, in each case without the prior written consent of the Purchasers. A Purchaser shall have the right to assign its rights or obligations under this Agreement or designate another person (i) to perform all or part of its obligations under this Agreement or (ii) to have all or part of its rights and benefits under this Agreement, in each case, without the prior consent of the Company, provided that (i) such assignment or designation is to any of its Affiliates or to any other investment funds or accounts managed or advised by the investment manager who acts on behalf of such Purchaser, or (ii) complies with applicable securities laws (provided that in the case of clauses (i) or (ii) each such assignee agrees to be bound by the terms of this Agreement and makes the same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In the event of any assignment in accordance with the terms of this Agreement, the assignee shall specifically assume and be bound by the provisions of this Agreement by executing a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to be bound by and subject to the terms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Any assignment or attempted assignment in violation of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505"/>
        <w:spacing w:after="0" w:line="258" w:lineRule="auto"/>
        <w:tabs>
          <w:tab w:leader="none" w:pos="18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covenants that until such time as the transactions contemplated by this Agreement and any material non-public information provided to such Purchaser are publicly disclosed by the Company, such Purchaser will maintain the confidentiality of all disclosures made to it in connection with this transaction (including the existence and terms of this transaction), other than to such Purchaser’s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spacing w:after="0" w:line="183" w:lineRule="exact"/>
        <w:rPr>
          <w:rFonts w:ascii="Times New Roman" w:cs="Times New Roman" w:eastAsia="Times New Roman" w:hAnsi="Times New Roman"/>
          <w:sz w:val="18"/>
          <w:szCs w:val="18"/>
          <w:color w:val="auto"/>
        </w:rPr>
      </w:pPr>
    </w:p>
    <w:p>
      <w:pPr>
        <w:jc w:val="both"/>
        <w:ind w:firstLine="1505"/>
        <w:spacing w:after="0" w:line="256" w:lineRule="auto"/>
        <w:tabs>
          <w:tab w:leader="none" w:pos="18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request from the Purchasers such additional information as the Company may deem necessary to evaluate the eligibility of the Purchaser to acquire the Securities, and the Purchaser shall promptly provide such information as may reasonably be requested to the extent readily available; provided, that the Company agrees to keep any such information provided by the Purchaser confidential, except (i) as required by the federal securities laws, rules or regulations and (ii) to the extent such disclosure is required by other laws, rules or regulations, at the request of the staff of the SEC or regulatory agency or under the regulations of Nasdaq. The Purchaser acknowledges that the Company may file a copy of this Agreement and the Registration Rights Agreement with the SEC as exhibit to a periodic report or a registration statement of the Company.</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Concerning the Placement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2254"/>
        <w:spacing w:after="0" w:line="257" w:lineRule="auto"/>
        <w:tabs>
          <w:tab w:leader="none" w:pos="260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agrees for the express benefit of the Placement Agent, their Affiliates and their representatives that (i) the Placement Agent, its Affiliates and its representatives have not made, and will not make any representations or warranties with respect to the Company or the offer and sale of the Securities, and such Purchaser will not rely on any statements made by the Placement Agent, orally or in writing, to the contrary,</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Purchaser will be responsible for conducting its own due diligence investigation with respect to the Company and the offer and sale of the Securities, (iii) such Purchaser will be purchasing Securities based on the results of its own due diligence investigation of the Company and the Placement Agent and each of its directors, officers, employees, representatives, and controlling persons have made no independent investigation with respect to the Company, the Securities, or the accuracy, completeness, or adequacy of any information supplied to the Purchaser by the Company, (iv) such Purchaser has negotiated the offer and sale of the Securities directly with the Company, and the Placement Agent will not be responsible for the ultimate success or failure of any such investment and (v) the decision to invest in the Company will involve a significant degree of risk, including a risk of total loss of such investment. Each Purchaser further represents and warrants to the Placement Agent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shall survive any termination of this Agreement.</w:t>
      </w:r>
    </w:p>
    <w:p>
      <w:pPr>
        <w:spacing w:after="0" w:line="192" w:lineRule="exact"/>
        <w:rPr>
          <w:rFonts w:ascii="Times New Roman" w:cs="Times New Roman" w:eastAsia="Times New Roman" w:hAnsi="Times New Roman"/>
          <w:sz w:val="18"/>
          <w:szCs w:val="18"/>
          <w:color w:val="auto"/>
        </w:rPr>
      </w:pPr>
    </w:p>
    <w:p>
      <w:pPr>
        <w:jc w:val="both"/>
        <w:ind w:firstLine="2254"/>
        <w:spacing w:after="0" w:line="266" w:lineRule="auto"/>
        <w:tabs>
          <w:tab w:leader="none" w:pos="260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and acknowledges that the Placement Agent may rely on its representations, warranties, agreements and covenants contained in this Agreement and each Purchaser agrees that the Placement Agent may rely on such Purchaser’s representations and warranties contained in this Agreement as if such representations and warranties, as applicable, were made directly to the Placement Agent.</w:t>
      </w:r>
    </w:p>
    <w:p>
      <w:pPr>
        <w:spacing w:after="0" w:line="175" w:lineRule="exact"/>
        <w:rPr>
          <w:rFonts w:ascii="Times New Roman" w:cs="Times New Roman" w:eastAsia="Times New Roman" w:hAnsi="Times New Roman"/>
          <w:sz w:val="18"/>
          <w:szCs w:val="18"/>
          <w:color w:val="auto"/>
        </w:rPr>
      </w:pPr>
    </w:p>
    <w:p>
      <w:pPr>
        <w:jc w:val="both"/>
        <w:ind w:firstLine="2254"/>
        <w:spacing w:after="0" w:line="261" w:lineRule="auto"/>
        <w:tabs>
          <w:tab w:leader="none" w:pos="260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Placement Agent nor any of its Affiliates or representatives (i) shall be liable for any improper payment made in accordance with the information provided by the Company; (ii) makes any representation or warranty, or has any responsibilities as to the validity, accuracy, value or genuineness of any information, certificates or documentation delivered by or on behalf of the Company pursuant to the Transaction Agreements or in connection with any of the transactions contemplated therein.</w:t>
      </w:r>
    </w:p>
    <w:p>
      <w:pPr>
        <w:spacing w:after="0" w:line="179" w:lineRule="exact"/>
        <w:rPr>
          <w:rFonts w:ascii="Times New Roman" w:cs="Times New Roman" w:eastAsia="Times New Roman" w:hAnsi="Times New Roman"/>
          <w:sz w:val="18"/>
          <w:szCs w:val="18"/>
          <w:color w:val="auto"/>
        </w:rPr>
      </w:pPr>
    </w:p>
    <w:p>
      <w:pPr>
        <w:jc w:val="both"/>
        <w:ind w:firstLine="2254"/>
        <w:spacing w:after="0" w:line="261" w:lineRule="auto"/>
        <w:tabs>
          <w:tab w:leader="none" w:pos="260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the Placement Agent, its Affiliates and representatives shall be entitled to (i) rely on, and shall be protected in acting upon, any certificate, instrument, notice, letter or any other document or security delivered to any of them by or on behalf of the Company, and (ii) be indemnified by the Company for acting as Placement Agent hereunder pursuant to the indemnification provisions set forth in the applicable letter agreement between the Company and the Placement Agent.</w:t>
      </w:r>
    </w:p>
    <w:p>
      <w:pPr>
        <w:spacing w:after="0" w:line="180"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Notwithstanding the foregoing, the Placement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is intended third-party beneficiaries of the representations and warranties of the Company and of each Purchaser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respectively, of this Agreement.</w:t>
      </w:r>
    </w:p>
    <w:p>
      <w:pPr>
        <w:spacing w:after="0" w:line="162"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Independent Nature of Purchasers’ Obligations and Right.</w:t>
      </w:r>
      <w:r>
        <w:rPr>
          <w:rFonts w:ascii="Times New Roman" w:cs="Times New Roman" w:eastAsia="Times New Roman" w:hAnsi="Times New Roman"/>
          <w:sz w:val="18"/>
          <w:szCs w:val="18"/>
          <w:color w:val="auto"/>
        </w:rPr>
        <w:t xml:space="preserve"> The obligations of each Purchaser under this Agreement are several and not joint with the obligations of any other Purchaser, and no Purchaser shall be responsible in any way for the performance obligations of any other Purchaser under this Agreement. Nothing contained herein, and no action taken by any Purchaser pursuant hereto, shall be deemed to constitute the Purchasers as, and the Company acknowledges that the Purchasers do not so constitute, a partnership, an association, a joint venture or any other kind of entity, or create a presumption that the Purchasers are in any way acting in concert or as a group, and the Company will not assert any such claim with respect to such obligations or the transactions contemplated by this Agreement. The Company acknowledges and each Purchaser confirms that it has independently participated in the negotiation of the transaction contemplated hereby with the advice of its own counsel and advisors. Each Purchaser also acknowledges that Sidley Austin LLP has rendered legal advice to the Company and not such Purchaser. Each Purchaser shall be entitled to independently protect and enforce its rights, including, without limitation, the rights arising out of this Agreement, and it shall not be necessary for any other Purchaser to be joined as an additional party in any proceeding for such purpose. The Company has elected to provide all Purchasers with the same terms and Transaction Agreements for the convenience of the Company and not because it was required or requested to do so by any Purchaser.</w:t>
      </w:r>
    </w:p>
    <w:p>
      <w:pPr>
        <w:spacing w:after="0" w:line="192"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any number of counterparts, each of which shall be an original, but all of which together shall constitute one instrument.</w:t>
      </w:r>
    </w:p>
    <w:p>
      <w:pPr>
        <w:spacing w:after="0" w:line="162"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xml:space="preserve">. The Transaction Agreements constitute the entire agreement between the parties hereto respecting the subject matter hereof and supersedes all prior agreements, negotiations, understandings, representations and statements respecting the subject matter hereof, whether written or oral. No modification, alteration, or change in any of the terms of this Agreement shall be valid or binding upon the parties hereto unless made in writing and duly executed by the Company and the Purchasers of at least a majority in interest of the Securities then held by the Purchasers. Notwithstanding the foregoing, this Agreement may not be amended and the observance of any term of this Agreement may not be waived with respect to any Purchaser without the written consent of such Purchaser unless such amendment or waiver applies to all Purchasers in the same fashion and provided that the consent of each Purchaser is required for the waiver of any of the conditions to closing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Company, on the one hand, and each Purchaser, on the other hand, may by an instrument signed in writing by such parties waive the performance, compliance or satisfaction by such Purchaser or the Company, respectively, with any term or provision hereof or any condition hereto to be performed, complied with or satisfied by such Purchaser or the Company, respectively.</w:t>
      </w:r>
    </w:p>
    <w:p>
      <w:pPr>
        <w:spacing w:after="0" w:line="194"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covenants, representations and warranties made by each party hereto contained in this Agreement shall survive the Closing and the delivery of the Securities in accordance with their respective terms. Each Purchaser shall be responsible only for its own representations, warranties, agreements and covenants hereunder.</w:t>
      </w:r>
    </w:p>
    <w:p>
      <w:pPr>
        <w:spacing w:after="0" w:line="176"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8.16 </w:t>
      </w:r>
      <w:r>
        <w:rPr>
          <w:rFonts w:ascii="Times New Roman" w:cs="Times New Roman" w:eastAsia="Times New Roman" w:hAnsi="Times New Roman"/>
          <w:sz w:val="18"/>
          <w:szCs w:val="18"/>
          <w:u w:val="single" w:color="auto"/>
          <w:color w:val="auto"/>
        </w:rPr>
        <w:t>Mutual Drafting.</w:t>
      </w:r>
      <w:r>
        <w:rPr>
          <w:rFonts w:ascii="Times New Roman" w:cs="Times New Roman" w:eastAsia="Times New Roman" w:hAnsi="Times New Roman"/>
          <w:sz w:val="18"/>
          <w:szCs w:val="18"/>
          <w:color w:val="auto"/>
        </w:rPr>
        <w:t xml:space="preserve"> This Agreement is the joint product of each Purchaser and the Company and each provision hereof has been subject to the mutual consultation, negotiation and agreement of such parties and shall not be construed for or against any party hereto.</w:t>
      </w:r>
    </w:p>
    <w:p>
      <w:pPr>
        <w:spacing w:after="0" w:line="162"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8.17 </w:t>
      </w:r>
      <w:r>
        <w:rPr>
          <w:rFonts w:ascii="Times New Roman" w:cs="Times New Roman" w:eastAsia="Times New Roman" w:hAnsi="Times New Roman"/>
          <w:sz w:val="18"/>
          <w:szCs w:val="18"/>
          <w:u w:val="single" w:color="auto"/>
          <w:color w:val="auto"/>
        </w:rPr>
        <w:t>Additional Matters</w:t>
      </w:r>
      <w:r>
        <w:rPr>
          <w:rFonts w:ascii="Times New Roman" w:cs="Times New Roman" w:eastAsia="Times New Roman" w:hAnsi="Times New Roman"/>
          <w:sz w:val="18"/>
          <w:szCs w:val="18"/>
          <w:color w:val="auto"/>
        </w:rPr>
        <w:t>. For the avoidance of doubt, the parties acknowledge and confirm that the terms and conditions of the Securities were determined as a result of arm’s-length negotiations.</w:t>
      </w:r>
    </w:p>
    <w:p>
      <w:pPr>
        <w:spacing w:after="0" w:line="162"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8.18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ind w:left="608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July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Civik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Thomas Civik</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this Agreement as of the day and year first above written.</w:t>
      </w: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46" w:right="1440" w:bottom="1440" w:gutter="0" w:footer="0" w:header="0"/>
        </w:sectPr>
      </w:pPr>
    </w:p>
    <w:bookmarkStart w:id="42" w:name="page43"/>
    <w:bookmarkEnd w:id="42"/>
    <w:p>
      <w:pPr>
        <w:ind w:left="338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0" w:lineRule="exact"/>
        <w:rPr>
          <w:sz w:val="20"/>
          <w:szCs w:val="20"/>
          <w:color w:val="auto"/>
        </w:rPr>
      </w:pPr>
    </w:p>
    <w:p>
      <w:pPr>
        <w:spacing w:after="0" w:line="24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2451100</wp:posOffset>
            </wp:positionH>
            <wp:positionV relativeFrom="paragraph">
              <wp:posOffset>-7620</wp:posOffset>
            </wp:positionV>
            <wp:extent cx="1524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pacing w:after="0" w:line="2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-7620</wp:posOffset>
            </wp:positionV>
            <wp:extent cx="2095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95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Address:[●]</w:t>
      </w:r>
    </w:p>
    <w:p>
      <w:pPr>
        <w:spacing w:after="0" w:line="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7159625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PURCHASERS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7713345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1104900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COMMON WARRANT</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[Filed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REGISTRATION RIGHTS AGREEMENT</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[Filed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7430770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47" w:name="page48"/>
    <w:bookmarkEnd w:id="47"/>
    <w:p>
      <w:pPr>
        <w:ind w:left="3303"/>
        <w:spacing w:after="0"/>
        <w:rPr>
          <w:sz w:val="20"/>
          <w:szCs w:val="20"/>
          <w:color w:val="auto"/>
        </w:rPr>
      </w:pPr>
      <w:r>
        <w:rPr>
          <w:rFonts w:ascii="Times New Roman" w:cs="Times New Roman" w:eastAsia="Times New Roman" w:hAnsi="Times New Roman"/>
          <w:sz w:val="18"/>
          <w:szCs w:val="18"/>
          <w:b w:val="1"/>
          <w:bCs w:val="1"/>
          <w:color w:val="auto"/>
        </w:rPr>
        <w:t>EXHIBIT D – Procedures for Exempt Issuance</w:t>
      </w:r>
    </w:p>
    <w:p>
      <w:pPr>
        <w:spacing w:after="0" w:line="162" w:lineRule="exact"/>
        <w:rPr>
          <w:sz w:val="20"/>
          <w:szCs w:val="20"/>
          <w:color w:val="auto"/>
        </w:rPr>
      </w:pPr>
    </w:p>
    <w:p>
      <w:pPr>
        <w:ind w:left="503" w:hanging="503"/>
        <w:spacing w:after="0" w:line="282" w:lineRule="auto"/>
        <w:tabs>
          <w:tab w:leader="none" w:pos="5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initially decides to pursue an Exempt Financing, the Company will offer the Exempt Financing to all Purchasers based on the procedures herein. For the avoidance of doubt the Company is under no obligation to proceed with or complete an Exempt Financing.</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decides to proceed with an Exempt Financing, the Company will provide notice to all Purchasers of such Exempt Financing.</w:t>
      </w:r>
    </w:p>
    <w:p>
      <w:pPr>
        <w:spacing w:after="0" w:line="117"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will have up to 48 hours to confirm whether they would participate in the proposed Exempt Financing and the amount by which they will participate.</w:t>
      </w:r>
    </w:p>
    <w:p>
      <w:pPr>
        <w:spacing w:after="0" w:line="53"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Purchaser’s right to participate in the proposed Exempt Financing will be on a “pro rata basis,” which is based on each such Purchaser’s beneficial ownership of the Company’s total outstanding capital stock (including for the purposes hereof any warrants and convertible securities) immediately following the closing of the transaction contemplated by this Securities Purchase Agreement .</w:t>
      </w:r>
    </w:p>
    <w:p>
      <w:pPr>
        <w:spacing w:after="0" w:line="67" w:lineRule="exact"/>
        <w:rPr>
          <w:rFonts w:ascii="Times New Roman" w:cs="Times New Roman" w:eastAsia="Times New Roman" w:hAnsi="Times New Roman"/>
          <w:sz w:val="18"/>
          <w:szCs w:val="18"/>
          <w:color w:val="auto"/>
        </w:rPr>
      </w:pPr>
    </w:p>
    <w:p>
      <w:pPr>
        <w:ind w:left="503" w:right="780" w:hanging="503"/>
        <w:spacing w:after="0" w:line="282" w:lineRule="auto"/>
        <w:tabs>
          <w:tab w:leader="none" w:pos="5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procedures set forth above, the Company at its sole discretion may proceed with and complete the Exempt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444500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765" w:right="3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REGISTRATION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July 2, 2026, is entered into by and among</w:t>
      </w:r>
      <w:r>
        <w:rPr>
          <w:rFonts w:ascii="Times New Roman" w:cs="Times New Roman" w:eastAsia="Times New Roman" w:hAnsi="Times New Roman"/>
          <w:sz w:val="18"/>
          <w:szCs w:val="18"/>
          <w:b w:val="1"/>
          <w:bCs w:val="1"/>
          <w:color w:val="auto"/>
        </w:rPr>
        <w:t xml:space="preserve"> PYXIS ONCOLOGY,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several investors signatory hereto (individually as an “Investor” and collectively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their respective permitted assigns,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Capitalized terms used herein and not otherwise defined herein shall have the respective meanings set forth in the Securities Purchase Agreement by and among the parties hereto, dated as of the date hereof (as amended, restated, supplemented or otherwise modified from time to time,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43" w:lineRule="exact"/>
        <w:rPr>
          <w:sz w:val="20"/>
          <w:szCs w:val="20"/>
          <w:color w:val="auto"/>
        </w:rPr>
      </w:pPr>
    </w:p>
    <w:p>
      <w:pPr>
        <w:jc w:val="both"/>
        <w:ind w:firstLine="757"/>
        <w:spacing w:after="0" w:line="251" w:lineRule="auto"/>
        <w:tabs>
          <w:tab w:leader="none" w:pos="10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Upon the terms and subject to the conditions of the Purchase Agreement, the Company has agreed to issue and sell to the Investors, and the Investors have agreed to purchase, severally and not jointly, an aggregate of up to (A) $50,000,000 of shares (the “</w:t>
      </w:r>
      <w:r>
        <w:rPr>
          <w:rFonts w:ascii="Times New Roman" w:cs="Times New Roman" w:eastAsia="Times New Roman" w:hAnsi="Times New Roman"/>
          <w:sz w:val="18"/>
          <w:szCs w:val="18"/>
          <w:u w:val="single" w:color="auto"/>
          <w:color w:val="auto"/>
        </w:rPr>
        <w:t>Initial Shares</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(B) common warrants (the “</w:t>
      </w:r>
      <w:r>
        <w:rPr>
          <w:rFonts w:ascii="Times New Roman" w:cs="Times New Roman" w:eastAsia="Times New Roman" w:hAnsi="Times New Roman"/>
          <w:sz w:val="18"/>
          <w:szCs w:val="18"/>
          <w:u w:val="single" w:color="auto"/>
          <w:color w:val="auto"/>
        </w:rPr>
        <w:t>Common Warrants</w:t>
      </w:r>
      <w:r>
        <w:rPr>
          <w:rFonts w:ascii="Times New Roman" w:cs="Times New Roman" w:eastAsia="Times New Roman" w:hAnsi="Times New Roman"/>
          <w:sz w:val="18"/>
          <w:szCs w:val="18"/>
          <w:color w:val="auto"/>
        </w:rPr>
        <w:t>”) to purchase shares of Common Stock, in each case, pursuant to the Purchase Agreement. The Initial Shares and the shares of Common Stock issuable upon exercise of the Common Warrants are collectively referred to herein as the “Shares.”</w:t>
      </w:r>
    </w:p>
    <w:p>
      <w:pPr>
        <w:spacing w:after="0" w:line="203" w:lineRule="exact"/>
        <w:rPr>
          <w:rFonts w:ascii="Times New Roman" w:cs="Times New Roman" w:eastAsia="Times New Roman" w:hAnsi="Times New Roman"/>
          <w:sz w:val="20"/>
          <w:szCs w:val="20"/>
          <w:color w:val="auto"/>
        </w:rPr>
      </w:pPr>
    </w:p>
    <w:p>
      <w:pPr>
        <w:jc w:val="both"/>
        <w:ind w:firstLine="757"/>
        <w:spacing w:after="0" w:line="252" w:lineRule="auto"/>
        <w:tabs>
          <w:tab w:leader="none" w:pos="10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To induce the Investors to enter into the Purchase Agreement, the Company has agreed to provide certain registration rights under the Securities Act of 1933, as amended, and the rules and regulations thereunder, or any similar successor statute (collectively,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applicable state securities laws.</w:t>
      </w:r>
    </w:p>
    <w:p>
      <w:pPr>
        <w:spacing w:after="0" w:line="184"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promises and the mutual covenants contained herein and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Company and the Investors hereby agree as follows:</w:t>
      </w:r>
    </w:p>
    <w:p>
      <w:pPr>
        <w:spacing w:after="0" w:line="168" w:lineRule="exact"/>
        <w:rPr>
          <w:sz w:val="20"/>
          <w:szCs w:val="20"/>
          <w:color w:val="auto"/>
        </w:rPr>
      </w:pPr>
    </w:p>
    <w:p>
      <w:pPr>
        <w:ind w:left="1140" w:hanging="383"/>
        <w:spacing w:after="0"/>
        <w:tabs>
          <w:tab w:leader="none" w:pos="114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DEFINITIONS.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For purposes of this Agreement, the following terms shall have the following meanings:</w:t>
      </w:r>
    </w:p>
    <w:p>
      <w:pPr>
        <w:spacing w:after="0" w:line="239" w:lineRule="exact"/>
        <w:rPr>
          <w:sz w:val="20"/>
          <w:szCs w:val="20"/>
          <w:color w:val="auto"/>
        </w:rPr>
      </w:pPr>
    </w:p>
    <w:p>
      <w:pPr>
        <w:ind w:left="2040" w:hanging="535"/>
        <w:spacing w:after="0"/>
        <w:tabs>
          <w:tab w:leader="none" w:pos="20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recitals hereof.</w:t>
      </w:r>
    </w:p>
    <w:p>
      <w:pPr>
        <w:spacing w:after="0" w:line="215" w:lineRule="exact"/>
        <w:rPr>
          <w:rFonts w:ascii="Times New Roman" w:cs="Times New Roman" w:eastAsia="Times New Roman" w:hAnsi="Times New Roman"/>
          <w:sz w:val="20"/>
          <w:szCs w:val="20"/>
          <w:color w:val="auto"/>
        </w:rPr>
      </w:pPr>
    </w:p>
    <w:p>
      <w:pPr>
        <w:ind w:firstLine="1505"/>
        <w:spacing w:after="0" w:line="255" w:lineRule="auto"/>
        <w:tabs>
          <w:tab w:leader="none" w:pos="203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Sunday, public holiday or other day on which commercial banks are required or authorized by law to be closed in the United States.</w:t>
      </w:r>
    </w:p>
    <w:p>
      <w:pPr>
        <w:spacing w:after="0" w:line="197"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hereof.</w:t>
      </w:r>
    </w:p>
    <w:p>
      <w:pPr>
        <w:spacing w:after="0" w:line="215" w:lineRule="exact"/>
        <w:rPr>
          <w:rFonts w:ascii="Times New Roman" w:cs="Times New Roman" w:eastAsia="Times New Roman" w:hAnsi="Times New Roman"/>
          <w:sz w:val="20"/>
          <w:szCs w:val="20"/>
          <w:color w:val="auto"/>
        </w:rPr>
      </w:pPr>
    </w:p>
    <w:p>
      <w:pPr>
        <w:ind w:firstLine="1505"/>
        <w:spacing w:after="0" w:line="255" w:lineRule="auto"/>
        <w:tabs>
          <w:tab w:leader="none" w:pos="203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Company’s common stock, par value $0.001 per share, and any securities into which such shares may hereinafter be reclassified.</w:t>
      </w:r>
    </w:p>
    <w:p>
      <w:pPr>
        <w:spacing w:after="0" w:line="197"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Warrants</w:t>
      </w:r>
      <w:r>
        <w:rPr>
          <w:rFonts w:ascii="Times New Roman" w:cs="Times New Roman" w:eastAsia="Times New Roman" w:hAnsi="Times New Roman"/>
          <w:sz w:val="18"/>
          <w:szCs w:val="18"/>
          <w:color w:val="auto"/>
        </w:rPr>
        <w:t>” has the meaning set forth in the recitals hereof.</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recitals hereof.</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w:t>
      </w:r>
    </w:p>
    <w:p>
      <w:pPr>
        <w:spacing w:after="0" w:line="202"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Damages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hereof.</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9" w:name="page50"/>
    <w:bookmarkEnd w:id="49"/>
    <w:p>
      <w:pPr>
        <w:spacing w:after="0" w:line="207" w:lineRule="exact"/>
        <w:rPr>
          <w:sz w:val="20"/>
          <w:szCs w:val="20"/>
          <w:color w:val="auto"/>
        </w:rPr>
      </w:pPr>
    </w:p>
    <w:p>
      <w:pPr>
        <w:ind w:left="2040" w:hanging="535"/>
        <w:spacing w:after="0"/>
        <w:tabs>
          <w:tab w:leader="none" w:pos="20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hereof.</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Shares</w:t>
      </w:r>
      <w:r>
        <w:rPr>
          <w:rFonts w:ascii="Times New Roman" w:cs="Times New Roman" w:eastAsia="Times New Roman" w:hAnsi="Times New Roman"/>
          <w:sz w:val="18"/>
          <w:szCs w:val="18"/>
          <w:color w:val="auto"/>
        </w:rPr>
        <w:t>” has the meaning set forth in the recitals hereof.</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has the meaning set forth in the recitals hereof.</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hereof.</w:t>
      </w:r>
    </w:p>
    <w:p>
      <w:pPr>
        <w:spacing w:after="0" w:line="215" w:lineRule="exact"/>
        <w:rPr>
          <w:rFonts w:ascii="Times New Roman" w:cs="Times New Roman" w:eastAsia="Times New Roman" w:hAnsi="Times New Roman"/>
          <w:sz w:val="20"/>
          <w:szCs w:val="20"/>
          <w:color w:val="auto"/>
        </w:rPr>
      </w:pPr>
    </w:p>
    <w:p>
      <w:pPr>
        <w:ind w:firstLine="1505"/>
        <w:spacing w:after="0" w:line="255" w:lineRule="auto"/>
        <w:tabs>
          <w:tab w:leader="none" w:pos="203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or entity including but not limited to any corporation, limited liability company, unincorporated association, partnership, joint venture, organization, business, individual, governmental or political subdivision thereof or a governmental agency.</w:t>
      </w:r>
    </w:p>
    <w:p>
      <w:pPr>
        <w:spacing w:after="0" w:line="197"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has the meaning set forth in the recitals hereof.</w:t>
      </w:r>
    </w:p>
    <w:p>
      <w:pPr>
        <w:spacing w:after="0" w:line="215" w:lineRule="exact"/>
        <w:rPr>
          <w:rFonts w:ascii="Times New Roman" w:cs="Times New Roman" w:eastAsia="Times New Roman" w:hAnsi="Times New Roman"/>
          <w:sz w:val="20"/>
          <w:szCs w:val="20"/>
          <w:color w:val="auto"/>
        </w:rPr>
      </w:pPr>
    </w:p>
    <w:p>
      <w:pPr>
        <w:jc w:val="both"/>
        <w:ind w:firstLine="1505"/>
        <w:spacing w:after="0" w:line="252" w:lineRule="auto"/>
        <w:tabs>
          <w:tab w:leader="none" w:pos="203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201" w:lineRule="exact"/>
        <w:rPr>
          <w:rFonts w:ascii="Times New Roman" w:cs="Times New Roman" w:eastAsia="Times New Roman" w:hAnsi="Times New Roman"/>
          <w:sz w:val="20"/>
          <w:szCs w:val="20"/>
          <w:color w:val="auto"/>
        </w:rPr>
      </w:pPr>
    </w:p>
    <w:p>
      <w:pPr>
        <w:jc w:val="both"/>
        <w:ind w:firstLine="1505"/>
        <w:spacing w:after="0" w:line="251" w:lineRule="auto"/>
        <w:tabs>
          <w:tab w:leader="none" w:pos="203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shall mean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of the Company and of all independent certified public accountants of the Company (including the expenses of any special audit and cold comfort letters required by or incident to such performance).</w:t>
      </w:r>
    </w:p>
    <w:p>
      <w:pPr>
        <w:spacing w:after="0" w:line="202"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w:t>
      </w:r>
    </w:p>
    <w:p>
      <w:pPr>
        <w:spacing w:after="0" w:line="215"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the Shares, the Common Warrant Shares (as defined in the Purchase Agreement) and any Common Stock issued or issuable with respect to the Shares or the Common Warrant Shares as a result of any stock split or subdivision, stock dividend, recapitalization, exchange or similar event; provided, that, a security shall cease to be a Registrable Security (and the Company shall not be required to maintain the effectiveness of any, or file another, Registration Statement hereunder with respect thereto) for so long as (a) a Registration Statement with respect to the sale of such Registrable Securities is declared effective by the SEC under the Securities Act and such Registrable Securities have been disposed of by the holder thereof in accordance with the plan of distribution contained in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 and the Transfer Agent has issued certificates or book entry receipts for such Registrable Securities to the holder thereof, or as such holder may direct, without any restrictive legend.</w:t>
      </w:r>
    </w:p>
    <w:p>
      <w:pPr>
        <w:spacing w:after="0" w:line="210" w:lineRule="exact"/>
        <w:rPr>
          <w:rFonts w:ascii="Times New Roman" w:cs="Times New Roman" w:eastAsia="Times New Roman" w:hAnsi="Times New Roman"/>
          <w:sz w:val="20"/>
          <w:szCs w:val="20"/>
          <w:color w:val="auto"/>
        </w:rPr>
      </w:pPr>
    </w:p>
    <w:p>
      <w:pPr>
        <w:jc w:val="both"/>
        <w:ind w:firstLine="1505"/>
        <w:spacing w:after="0" w:line="251" w:lineRule="auto"/>
        <w:tabs>
          <w:tab w:leader="none" w:pos="203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Company filed with, or to be filed with, the SEC under the Securities Act, that Registers Registrable Securities,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82" w:lineRule="auto"/>
        <w:rPr>
          <w:sz w:val="20"/>
          <w:szCs w:val="20"/>
          <w:color w:val="auto"/>
        </w:rPr>
      </w:pPr>
      <w:r>
        <w:rPr>
          <w:rFonts w:ascii="Times New Roman" w:cs="Times New Roman" w:eastAsia="Times New Roman" w:hAnsi="Times New Roman"/>
          <w:sz w:val="18"/>
          <w:szCs w:val="18"/>
          <w:color w:val="auto"/>
        </w:rPr>
        <w:t>Statement, as amended when each became effective, including all documents filed as part thereof or incorporated by reference therein, and including any information contained in a prospectus subsequently filed with the SEC.</w:t>
      </w:r>
    </w:p>
    <w:p>
      <w:pPr>
        <w:spacing w:after="0" w:line="175" w:lineRule="exact"/>
        <w:rPr>
          <w:sz w:val="20"/>
          <w:szCs w:val="20"/>
          <w:color w:val="auto"/>
        </w:rPr>
      </w:pPr>
    </w:p>
    <w:p>
      <w:pPr>
        <w:ind w:left="2040" w:hanging="535"/>
        <w:spacing w:after="0"/>
        <w:tabs>
          <w:tab w:leader="none" w:pos="20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has the meaning set forth in the recitals hereof.</w:t>
      </w:r>
    </w:p>
    <w:p>
      <w:pPr>
        <w:spacing w:after="0" w:line="215" w:lineRule="exact"/>
        <w:rPr>
          <w:rFonts w:ascii="Times New Roman" w:cs="Times New Roman" w:eastAsia="Times New Roman" w:hAnsi="Times New Roman"/>
          <w:sz w:val="20"/>
          <w:szCs w:val="20"/>
          <w:color w:val="auto"/>
        </w:rPr>
      </w:pPr>
    </w:p>
    <w:p>
      <w:pPr>
        <w:ind w:firstLine="1505"/>
        <w:spacing w:after="0" w:line="255" w:lineRule="auto"/>
        <w:tabs>
          <w:tab w:leader="none" w:pos="203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shall mean all underwriting discounts and selling commissions applicable to the sale of Registrable Securities and all similar fees and commissions relating to the Investors’ disposition of the Registrable Securities.</w:t>
      </w:r>
    </w:p>
    <w:p>
      <w:pPr>
        <w:spacing w:after="0" w:line="197"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has the meaning set forth in the recitals hereof.</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hereof.</w:t>
      </w:r>
    </w:p>
    <w:p>
      <w:pPr>
        <w:spacing w:after="0" w:line="216" w:lineRule="exact"/>
        <w:rPr>
          <w:sz w:val="20"/>
          <w:szCs w:val="20"/>
          <w:color w:val="auto"/>
        </w:rPr>
      </w:pPr>
    </w:p>
    <w:p>
      <w:pPr>
        <w:ind w:left="2040" w:hanging="535"/>
        <w:spacing w:after="0"/>
        <w:tabs>
          <w:tab w:leader="none" w:pos="204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Violations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hereof.</w:t>
      </w:r>
    </w:p>
    <w:p>
      <w:pPr>
        <w:spacing w:after="0" w:line="200" w:lineRule="exact"/>
        <w:rPr>
          <w:rFonts w:ascii="Times New Roman" w:cs="Times New Roman" w:eastAsia="Times New Roman" w:hAnsi="Times New Roman"/>
          <w:sz w:val="20"/>
          <w:szCs w:val="20"/>
          <w:color w:val="auto"/>
        </w:rPr>
      </w:pPr>
    </w:p>
    <w:p>
      <w:pPr>
        <w:spacing w:after="0" w:line="214"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REGISTRATION.</w:t>
      </w:r>
    </w:p>
    <w:p>
      <w:pPr>
        <w:spacing w:after="0" w:line="219" w:lineRule="exact"/>
        <w:rPr>
          <w:rFonts w:ascii="Times New Roman" w:cs="Times New Roman" w:eastAsia="Times New Roman" w:hAnsi="Times New Roman"/>
          <w:sz w:val="20"/>
          <w:szCs w:val="20"/>
          <w:b w:val="1"/>
          <w:bCs w:val="1"/>
          <w:color w:val="auto"/>
        </w:rPr>
      </w:pPr>
    </w:p>
    <w:p>
      <w:pPr>
        <w:jc w:val="both"/>
        <w:ind w:firstLine="1505"/>
        <w:spacing w:after="0" w:line="250" w:lineRule="auto"/>
        <w:tabs>
          <w:tab w:leader="none" w:pos="2036"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 As promptly as practicable but in any event no later than October 2, 2026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the Company shall prepare and file with the SEC an initial Registration Statement (the “</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covering the resale of all Registrable Securities. Such Registration Statement shall not include any shares of Common Stock or other securities for the account of any other holder without the prior written consent of the Required Holders. Before filing the Registration Statement, the Company shall furnish to the Investors a copy of the Registration Statement. The Investors and their counsel shall have at least four (4) Business Days prior to the anticipated filing date of a Registration Statement to review and comment upon such Registration Statement and any amendment or supplement to such Registration Statement and any related prospectus (including any documents incorporated by reference therein). Prior to its filing with the SEC, the Company shall (a) use its commercially reasonable efforts to address in each such document prior to being so filed with the SEC such comments as the Investor or its counsel reasonably proposed by the Investor, and (b) not file any Registration Statement or related prospectus or any amendment or supplement thereto containing information regarding the Investor to which Investor reasonably objects, unless such information is required to comply with any applicable law or regulation. The Investors shall furnish all information reasonably requested by the Company and as shall be reasonably required in connection with any registration referred to in this Agreement.</w:t>
      </w:r>
    </w:p>
    <w:p>
      <w:pPr>
        <w:spacing w:after="0" w:line="210"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Effectiveness Deadline; Registration Period.</w:t>
      </w:r>
      <w:r>
        <w:rPr>
          <w:rFonts w:ascii="Times New Roman" w:cs="Times New Roman" w:eastAsia="Times New Roman" w:hAnsi="Times New Roman"/>
          <w:sz w:val="18"/>
          <w:szCs w:val="18"/>
          <w:color w:val="auto"/>
        </w:rPr>
        <w:t xml:space="preserve"> The Company shall use its commercially reasonable efforts to have the Initial Registration Statement and any amendment declared effective by the SEC at the earliest possible date but no later than the earlier of (a) the seventy-fifth (75th) calendar day following the initial filing date of the Initial Registration Statement if the SEC notifies the Company that it will “review” the Initial Registration Statement, and (b) the fifth (5th) Business Day after the date the Company is notified (orally or in writing, whichever is earlier) by the SEC that the Initial Registration Statement will not be “reviewed” or will not be subject to further review (the earlier of such dates, the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Deadline</w:t>
      </w:r>
      <w:r>
        <w:rPr>
          <w:rFonts w:ascii="Times New Roman" w:cs="Times New Roman" w:eastAsia="Times New Roman" w:hAnsi="Times New Roman"/>
          <w:sz w:val="18"/>
          <w:szCs w:val="18"/>
          <w:color w:val="auto"/>
        </w:rPr>
        <w:t>”). The Company shall notify the Investor by e-mail as promptly as practicable, and in any event, within twenty-four (24) hours, after the Registration Statement is declared effective or is supplemented and shall provide the Investor with copies of any related Prospectus to be used in connection with the sale or other disposition of the securities covered thereby. The Company shall use commercially reasonable efforts to cause such Registration Statement to remain continuously effective for a period that will terminate upon the earlier of (i) the date on which all Registrable Securities covered by such Registration Statement as amended from time to time, have been sold or otherwise disposed of pursuant to the Registration Statement or in a transaction in which the transferee receives freely tradable shares and (ii) the date on which the Registrable Securities no longer constitute “Registrable Securities” pursuant to the definition thereof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and shall advise the Investors in writing when the Effectiveness Period has expired.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1" w:name="page52"/>
    <w:bookmarkEnd w:id="51"/>
    <w:p>
      <w:pPr>
        <w:jc w:val="both"/>
        <w:ind w:firstLine="1505"/>
        <w:spacing w:after="0" w:line="250" w:lineRule="auto"/>
        <w:tabs>
          <w:tab w:leader="none" w:pos="203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Sufficient Number of Shares Registered</w:t>
      </w:r>
      <w:r>
        <w:rPr>
          <w:rFonts w:ascii="Times New Roman" w:cs="Times New Roman" w:eastAsia="Times New Roman" w:hAnsi="Times New Roman"/>
          <w:sz w:val="18"/>
          <w:szCs w:val="18"/>
          <w:color w:val="auto"/>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cs="Times New Roman" w:eastAsia="Times New Roman" w:hAnsi="Times New Roman"/>
          <w:sz w:val="18"/>
          <w:szCs w:val="18"/>
          <w:u w:val="single" w:color="auto"/>
          <w:color w:val="auto"/>
        </w:rPr>
        <w:t>New Registration Statement</w:t>
      </w:r>
      <w:r>
        <w:rPr>
          <w:rFonts w:ascii="Times New Roman" w:cs="Times New Roman" w:eastAsia="Times New Roman" w:hAnsi="Times New Roman"/>
          <w:sz w:val="18"/>
          <w:szCs w:val="18"/>
          <w:color w:val="auto"/>
        </w:rPr>
        <w:t>”), so as to cover all of such Registrable Securities as soon as reasonably practicable, but in any event not later than ten (10) Business Days after the necessity therefor arises (the “</w:t>
      </w:r>
      <w:r>
        <w:rPr>
          <w:rFonts w:ascii="Times New Roman" w:cs="Times New Roman" w:eastAsia="Times New Roman" w:hAnsi="Times New Roman"/>
          <w:sz w:val="18"/>
          <w:szCs w:val="18"/>
          <w:u w:val="single" w:color="auto"/>
          <w:color w:val="auto"/>
        </w:rPr>
        <w:t>New Registration Filing Deadline</w:t>
      </w:r>
      <w:r>
        <w:rPr>
          <w:rFonts w:ascii="Times New Roman" w:cs="Times New Roman" w:eastAsia="Times New Roman" w:hAnsi="Times New Roman"/>
          <w:sz w:val="18"/>
          <w:szCs w:val="18"/>
          <w:color w:val="auto"/>
        </w:rPr>
        <w:t>”). The Company shall use its commercially reasonable efforts to have such amendment and/or New Registration Statement become effective as soon as reasonably practicable following the filing thereof but no later than the earlier of the seventy-fifth (75th) calendar day following the initial filing date of the Initial Registration Statement if the SEC notifies the Company that it will “review” the Initial Registration Statement and (b) the fifth (5th) Business Day after the date the Company is notified (orally or in writing, whichever is earlier) by the SEC that the New Registration Statement will not be “reviewed” or will not be subject to further review (the earlier of such dates, the “</w:t>
      </w:r>
      <w:r>
        <w:rPr>
          <w:rFonts w:ascii="Times New Roman" w:cs="Times New Roman" w:eastAsia="Times New Roman" w:hAnsi="Times New Roman"/>
          <w:sz w:val="18"/>
          <w:szCs w:val="18"/>
          <w:u w:val="single" w:color="auto"/>
          <w:color w:val="auto"/>
        </w:rPr>
        <w:t>New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The provisions of Sections 2(a) and (b) shall apply to the New Registration Statement except as modified hereby.</w:t>
      </w:r>
    </w:p>
    <w:p>
      <w:pPr>
        <w:spacing w:after="0" w:line="209"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If (i) the Initial Registration Statement has not been filed by the Filing Deadline, (ii) the Initial Registration Statement has not been declared effective by the Effectiveness Deadline, (iii) the New Registration Statement has not been filed by the New Registration Filing Deadline, (iv) the New Registration Statement has not been declared effective by the New Registration Effectiveness Deadline, or (v) after any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(as defined below) or, if the Registration Statement is on Form S-1, for a period of twenty (20) days following the date on which the Company files a post-effective amendment to incorporate the Company’s Annual Report on Form 10-K (a “Maintenance Failure”), then the Company will make pro rata payments to each Investor then holding Registrable Securities, as liquidated damages and not as a penalty, in an amount equal to 1.0% of the aggregate amount paid pursuant to the Purchase Agreement by such Investor for such Registrable Securities then held by such Investor for each 30-day period or pro rata for any portion thereof during which the failure continues (the “Blackout Period”). Such payments shall constitute the Investors’ exclusive monetary remedy for such events, but shall not affect the right of the Investors to seek injunctive relief. The amounts payable as liquidated damages pursuant to this paragraph shall be paid in cash no later than five (5) Business Days after each such 30-day period following the commencement of the Blackout Period until the termination of the Blackout Period (the “Blackout Period Payment Date”). Interest shall accrue at the rate of 1.0% per month on any such liquidated damages payments that shall not be paid by the Blackout Period Payment Date until such amount is paid in full. Notwithstanding anything in this Section 2(d) to the contrary, during any periods that the Company is unable to meet its obligations hereunder with respect to the registration of the Registrable Securities because any Investor fails to furnish information required to be provided pursuant to Section 2(a) or Section 4(a) within three (3) Business Days of the Company’s request, any liquidated damages that would otherwise accrue as to such Investor only shall be tolled until such information is delivered to the Company.</w:t>
      </w:r>
    </w:p>
    <w:p>
      <w:pPr>
        <w:spacing w:after="0" w:line="212"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For not more than twenty (20) consecutive days or for a total of not more than forty-five (45) days in any twelve (12) month period, the Company may suspend the use of any prospectus included in any Registration Statement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“Allowed Delay”); provided,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Registration Statement until the end of the Allowed Delay and (c) use commercially reasonable efforts to terminate an Allowed Delay as promptly as practicable.</w:t>
      </w:r>
    </w:p>
    <w:p>
      <w:pPr>
        <w:spacing w:after="0" w:line="209" w:lineRule="exact"/>
        <w:rPr>
          <w:rFonts w:ascii="Times New Roman" w:cs="Times New Roman" w:eastAsia="Times New Roman" w:hAnsi="Times New Roman"/>
          <w:sz w:val="20"/>
          <w:szCs w:val="20"/>
          <w:color w:val="auto"/>
        </w:rPr>
      </w:pPr>
    </w:p>
    <w:p>
      <w:pPr>
        <w:jc w:val="both"/>
        <w:ind w:firstLine="1505"/>
        <w:spacing w:after="0" w:line="252" w:lineRule="auto"/>
        <w:tabs>
          <w:tab w:leader="none" w:pos="203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Rule 415; Cutback</w:t>
      </w:r>
      <w:r>
        <w:rPr>
          <w:rFonts w:ascii="Times New Roman" w:cs="Times New Roman" w:eastAsia="Times New Roman" w:hAnsi="Times New Roman"/>
          <w:sz w:val="18"/>
          <w:szCs w:val="18"/>
          <w:color w:val="auto"/>
        </w:rPr>
        <w:t>.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52" w:name="page53"/>
    <w:bookmarkEnd w:id="52"/>
    <w:p>
      <w:pPr>
        <w:jc w:val="both"/>
        <w:spacing w:after="0" w:line="251" w:lineRule="auto"/>
        <w:rPr>
          <w:sz w:val="20"/>
          <w:szCs w:val="20"/>
          <w:color w:val="auto"/>
        </w:rPr>
      </w:pPr>
      <w:r>
        <w:rPr>
          <w:rFonts w:ascii="Times New Roman" w:cs="Times New Roman" w:eastAsia="Times New Roman" w:hAnsi="Times New Roman"/>
          <w:sz w:val="18"/>
          <w:szCs w:val="18"/>
          <w:color w:val="auto"/>
        </w:rPr>
        <w:t>commercially reasonable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have its legal counsel, at such Investor’s expense, review and oversee any registration or matters pursuant to this Section 2(f), including participation in any meetings or discussions with the SEC regarding the SEC’s position and to comment on any written submission made to the SEC with respect thereto. No such written submission with respect to this matter shall be made to the SEC to which any Investor’s counsel reasonably objects. In the event that, despite the Company’s commercially reasonable efforts and compliance with the terms of this Section 2(f), the SEC refuses to alter its position, the Company shall (i) remove from such Registration Statement such portion of the Registrable Securities (the “</w:t>
      </w:r>
      <w:r>
        <w:rPr>
          <w:rFonts w:ascii="Times New Roman" w:cs="Times New Roman" w:eastAsia="Times New Roman" w:hAnsi="Times New Roman"/>
          <w:sz w:val="18"/>
          <w:szCs w:val="18"/>
          <w:u w:val="single" w:color="auto"/>
          <w:color w:val="auto"/>
        </w:rPr>
        <w:t>Cut Back Shares</w:t>
      </w:r>
      <w:r>
        <w:rPr>
          <w:rFonts w:ascii="Times New Roman" w:cs="Times New Roman" w:eastAsia="Times New Roman" w:hAnsi="Times New Roman"/>
          <w:sz w:val="18"/>
          <w:szCs w:val="18"/>
          <w:color w:val="auto"/>
        </w:rPr>
        <w:t>”)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8"/>
          <w:szCs w:val="18"/>
          <w:u w:val="single" w:color="auto"/>
          <w:color w:val="auto"/>
        </w:rPr>
        <w:t>SEC Restrictions</w:t>
      </w:r>
      <w:r>
        <w:rPr>
          <w:rFonts w:ascii="Times New Roman" w:cs="Times New Roman" w:eastAsia="Times New Roman" w:hAnsi="Times New Roman"/>
          <w:sz w:val="18"/>
          <w:szCs w:val="18"/>
          <w:color w:val="auto"/>
        </w:rPr>
        <w:t>”); provided, however, that the Company 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the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Section 2(f) shall be allocated among the Investors on a pro rata basis, unless the SEC Restrictions otherwise require or provide or the Investors otherwise agree. No liquidated damages shall accrue as to any Cut Back Shares until such date as the Company is able to effect the registration of such Cut Back Shares in accordance with any SEC Restrictions applicable to such Cut Back Shares (such date, the “Restriction Termination Date”). From and after the Restriction Termination Date applicable to any Cut Back Shares, all of the provisions of this Section 2 (including the Company’s obligations with respect to the filing of a Registration Statement and its obligations to use reasonable efforts to have such Registration Statement declared effective within the time periods set forth herein and the liquidated damages provisions relating thereto) shall again be applicable to such Cut Back Shares; provided, however, that the date by which the Company is required to file the Registration Statement with respect to such Cut Back Shares shall be the tenth (10th) day following the Restriction Termination Date and the date by which the Company is required to have the Registration Statement effective with respect to such Cut Back Shares shall be the sixtieth (60th) day immediately after the Restriction Termination Date.</w:t>
      </w:r>
    </w:p>
    <w:p>
      <w:pPr>
        <w:spacing w:after="0" w:line="214" w:lineRule="exact"/>
        <w:rPr>
          <w:sz w:val="20"/>
          <w:szCs w:val="20"/>
          <w:color w:val="auto"/>
        </w:rPr>
      </w:pPr>
    </w:p>
    <w:p>
      <w:pPr>
        <w:ind w:left="1140" w:hanging="383"/>
        <w:spacing w:after="0"/>
        <w:tabs>
          <w:tab w:leader="none" w:pos="114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RELATED COMPANY OBLIGATIONS.</w:t>
      </w:r>
    </w:p>
    <w:p>
      <w:pPr>
        <w:spacing w:after="0" w:line="20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the Registration Statement and whenever any Registrable Securities are to be Registered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on the Initial Registration Statement or on any New Registration Statement, the Company shall use its commercially reasonable efforts to effect the registration of the Registrable Securities in accordance with the intended method of disposition thereof and, pursuant thereto, the Company shall have the following obligations:</w:t>
      </w:r>
    </w:p>
    <w:p>
      <w:pPr>
        <w:spacing w:after="0" w:line="193" w:lineRule="exact"/>
        <w:rPr>
          <w:sz w:val="20"/>
          <w:szCs w:val="20"/>
          <w:color w:val="auto"/>
        </w:rPr>
      </w:pPr>
    </w:p>
    <w:p>
      <w:pPr>
        <w:jc w:val="both"/>
        <w:ind w:firstLine="1505"/>
        <w:spacing w:after="0" w:line="251" w:lineRule="auto"/>
        <w:tabs>
          <w:tab w:leader="none" w:pos="203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Notifications</w:t>
      </w:r>
      <w:r>
        <w:rPr>
          <w:rFonts w:ascii="Times New Roman" w:cs="Times New Roman" w:eastAsia="Times New Roman" w:hAnsi="Times New Roman"/>
          <w:sz w:val="18"/>
          <w:szCs w:val="18"/>
          <w:color w:val="auto"/>
        </w:rPr>
        <w:t>. The Company will notify the Investors promptly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w:t>
      </w:r>
    </w:p>
    <w:p>
      <w:pPr>
        <w:spacing w:after="0" w:line="203" w:lineRule="exact"/>
        <w:rPr>
          <w:rFonts w:ascii="Times New Roman" w:cs="Times New Roman" w:eastAsia="Times New Roman" w:hAnsi="Times New Roman"/>
          <w:sz w:val="20"/>
          <w:szCs w:val="20"/>
          <w:color w:val="auto"/>
        </w:rPr>
      </w:pPr>
    </w:p>
    <w:p>
      <w:pPr>
        <w:jc w:val="both"/>
        <w:ind w:firstLine="1505"/>
        <w:spacing w:after="0" w:line="251" w:lineRule="auto"/>
        <w:tabs>
          <w:tab w:leader="none" w:pos="203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The Company will prepare and file with the SEC any amendments, post-effective amendments or supplements to the Initial Registration Statement, any New Registration Statement or any related prospectus, as applicable, that, (a) as may be necessary to keep such Registration Statement effective for the Effectiveness Period and to comply with the provisions of the Securities Act and the Exchange Act with respect to the distribution of all of the Registrable Securities covered thereby, or (b) in the reasonable opinion of the Investors and the Company, as may be necessary or advisable in connection with any acquisition or sale of Registrable Securities by the Investors.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3" w:name="page54"/>
    <w:bookmarkEnd w:id="53"/>
    <w:p>
      <w:pPr>
        <w:jc w:val="both"/>
        <w:ind w:firstLine="1505"/>
        <w:spacing w:after="0" w:line="251" w:lineRule="auto"/>
        <w:tabs>
          <w:tab w:leader="none" w:pos="203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Investor Review</w:t>
      </w:r>
      <w:r>
        <w:rPr>
          <w:rFonts w:ascii="Times New Roman" w:cs="Times New Roman" w:eastAsia="Times New Roman" w:hAnsi="Times New Roman"/>
          <w:sz w:val="18"/>
          <w:szCs w:val="18"/>
          <w:color w:val="auto"/>
        </w:rPr>
        <w:t>. The Company will not file any amendment or supplement to the Registration Statement, any New Registration Statement or any prospectus, other than documents incorporated by reference, relating to the Investors, the Registrable Securities or the transactions contemplated hereby unless (A) the Investors and their counsel shall have been advised and afforded the opportunity to review and comment thereon at least four (4) Business Days prior to filing with the SEC and (B) the Company shall have given reasonable due consideration to any comments thereon received from the Investors or their counsel.</w:t>
      </w:r>
    </w:p>
    <w:p>
      <w:pPr>
        <w:spacing w:after="0" w:line="203" w:lineRule="exact"/>
        <w:rPr>
          <w:rFonts w:ascii="Times New Roman" w:cs="Times New Roman" w:eastAsia="Times New Roman" w:hAnsi="Times New Roman"/>
          <w:sz w:val="20"/>
          <w:szCs w:val="20"/>
          <w:color w:val="auto"/>
        </w:rPr>
      </w:pPr>
    </w:p>
    <w:p>
      <w:pPr>
        <w:jc w:val="both"/>
        <w:ind w:firstLine="1505"/>
        <w:spacing w:after="0" w:line="251" w:lineRule="auto"/>
        <w:tabs>
          <w:tab w:leader="none" w:pos="203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Copies Available</w:t>
      </w:r>
      <w:r>
        <w:rPr>
          <w:rFonts w:ascii="Times New Roman" w:cs="Times New Roman" w:eastAsia="Times New Roman" w:hAnsi="Times New Roman"/>
          <w:sz w:val="18"/>
          <w:szCs w:val="18"/>
          <w:color w:val="auto"/>
        </w:rPr>
        <w:t xml:space="preserve">.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and such other documents as Investor may reasonably request in order to facilitate the disposition of the Registrable Securities owned by Investor that are covered by such Registration Statement, in each case as soon as reasonably practicable upon such Investor’s request and in such quantities as such Investor may from time to time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furnish any document to the Investor to the extent such document is available on EDGAR.</w:t>
      </w:r>
    </w:p>
    <w:p>
      <w:pPr>
        <w:spacing w:after="0" w:line="201" w:lineRule="exact"/>
        <w:rPr>
          <w:rFonts w:ascii="Times New Roman" w:cs="Times New Roman" w:eastAsia="Times New Roman" w:hAnsi="Times New Roman"/>
          <w:sz w:val="20"/>
          <w:szCs w:val="20"/>
          <w:color w:val="auto"/>
        </w:rPr>
      </w:pPr>
    </w:p>
    <w:p>
      <w:pPr>
        <w:jc w:val="both"/>
        <w:ind w:firstLine="1505"/>
        <w:spacing w:after="0" w:line="248" w:lineRule="auto"/>
        <w:tabs>
          <w:tab w:leader="none" w:pos="203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Notification of Stop Orders; Material Changes</w:t>
      </w:r>
      <w:r>
        <w:rPr>
          <w:rFonts w:ascii="Times New Roman" w:cs="Times New Roman" w:eastAsia="Times New Roman" w:hAnsi="Times New Roman"/>
          <w:sz w:val="18"/>
          <w:szCs w:val="18"/>
          <w:color w:val="auto"/>
        </w:rPr>
        <w:t>.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w:t>
      </w:r>
    </w:p>
    <w:p>
      <w:pPr>
        <w:jc w:val="both"/>
        <w:ind w:firstLine="8"/>
        <w:spacing w:after="0" w:line="251" w:lineRule="auto"/>
        <w:tabs>
          <w:tab w:leader="none" w:pos="21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the substance of specific reasons of any of the events set forth in clause (i) to (iii) of the immediately preceding sentence (each,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but rather, shall only be required to disclose that the event has occurred</w:t>
      </w:r>
    </w:p>
    <w:p>
      <w:pPr>
        <w:spacing w:after="0" w:line="205" w:lineRule="exact"/>
        <w:rPr>
          <w:rFonts w:ascii="Times New Roman" w:cs="Times New Roman" w:eastAsia="Times New Roman" w:hAnsi="Times New Roman"/>
          <w:sz w:val="18"/>
          <w:szCs w:val="18"/>
          <w:color w:val="auto"/>
        </w:rPr>
      </w:pPr>
    </w:p>
    <w:p>
      <w:pPr>
        <w:jc w:val="both"/>
        <w:ind w:right="20" w:firstLine="1505"/>
        <w:spacing w:after="0" w:line="251" w:lineRule="auto"/>
        <w:tabs>
          <w:tab w:leader="none" w:pos="2036"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Confirmation of Effectiveness</w:t>
      </w:r>
      <w:r>
        <w:rPr>
          <w:rFonts w:ascii="Times New Roman" w:cs="Times New Roman" w:eastAsia="Times New Roman" w:hAnsi="Times New Roman"/>
          <w:sz w:val="18"/>
          <w:szCs w:val="18"/>
          <w:color w:val="auto"/>
        </w:rPr>
        <w:t>. If reasonably requested by an Investor at any time in respect of any Registration Statement, the Company shall deliver to such Investor a written confirmation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w:t>
      </w:r>
    </w:p>
    <w:p>
      <w:pPr>
        <w:spacing w:after="0" w:line="203" w:lineRule="exact"/>
        <w:rPr>
          <w:rFonts w:ascii="Times New Roman" w:cs="Times New Roman" w:eastAsia="Times New Roman" w:hAnsi="Times New Roman"/>
          <w:sz w:val="20"/>
          <w:szCs w:val="20"/>
          <w:color w:val="auto"/>
        </w:rPr>
      </w:pPr>
    </w:p>
    <w:p>
      <w:pPr>
        <w:ind w:firstLine="1505"/>
        <w:spacing w:after="0" w:line="255" w:lineRule="auto"/>
        <w:tabs>
          <w:tab w:leader="none" w:pos="2036"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commercially reasonable efforts to cause all Registrable Securities covered by a Registration Statement to be listed on a National Exchange (as defined in the Purchase Agreement).</w:t>
      </w:r>
    </w:p>
    <w:p>
      <w:pPr>
        <w:spacing w:after="0" w:line="200" w:lineRule="exact"/>
        <w:rPr>
          <w:rFonts w:ascii="Times New Roman" w:cs="Times New Roman" w:eastAsia="Times New Roman" w:hAnsi="Times New Roman"/>
          <w:sz w:val="20"/>
          <w:szCs w:val="20"/>
          <w:color w:val="auto"/>
        </w:rPr>
      </w:pPr>
    </w:p>
    <w:p>
      <w:pPr>
        <w:spacing w:after="0" w:line="213" w:lineRule="exact"/>
        <w:rPr>
          <w:rFonts w:ascii="Times New Roman" w:cs="Times New Roman" w:eastAsia="Times New Roman" w:hAnsi="Times New Roman"/>
          <w:sz w:val="20"/>
          <w:szCs w:val="20"/>
          <w:color w:val="auto"/>
        </w:rPr>
      </w:pPr>
    </w:p>
    <w:p>
      <w:pPr>
        <w:jc w:val="both"/>
        <w:ind w:firstLine="1505"/>
        <w:spacing w:after="0" w:line="251" w:lineRule="auto"/>
        <w:tabs>
          <w:tab w:leader="none" w:pos="2036"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The Company shall otherwise use commercially reasonable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 in writing if, at any</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54" w:name="page55"/>
    <w:bookmarkEnd w:id="54"/>
    <w:p>
      <w:pPr>
        <w:jc w:val="both"/>
        <w:spacing w:after="0" w:line="254" w:lineRule="auto"/>
        <w:rPr>
          <w:sz w:val="20"/>
          <w:szCs w:val="20"/>
          <w:color w:val="auto"/>
        </w:rPr>
      </w:pPr>
      <w:r>
        <w:rPr>
          <w:rFonts w:ascii="Times New Roman" w:cs="Times New Roman" w:eastAsia="Times New Roman" w:hAnsi="Times New Roman"/>
          <w:sz w:val="18"/>
          <w:szCs w:val="18"/>
          <w:color w:val="auto"/>
        </w:rPr>
        <w:t>time during the Effectiveness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Securities Act, including Rule 158 promulgated thereunder (for the purpose of this subsection 3(h), “Availability Date” means the forty-fifth (45th) day following the end of the fourth (4th) fiscal quarter that includes the effective date of such Registration Statement, except that, if such fourth (4th) fiscal quarter is the last quarter of the Company’s fiscal year, “Availability Date” means the ninetieth (90th) day after the end of such fourth (4th) fiscal quarter).</w:t>
      </w:r>
    </w:p>
    <w:p>
      <w:pPr>
        <w:spacing w:after="0" w:line="205" w:lineRule="exact"/>
        <w:rPr>
          <w:sz w:val="20"/>
          <w:szCs w:val="20"/>
          <w:color w:val="auto"/>
        </w:rPr>
      </w:pPr>
    </w:p>
    <w:p>
      <w:pPr>
        <w:jc w:val="both"/>
        <w:ind w:firstLine="1505"/>
        <w:spacing w:after="0" w:line="251" w:lineRule="auto"/>
        <w:tabs>
          <w:tab w:leader="none" w:pos="2036"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Blue-Sky</w:t>
      </w:r>
      <w:r>
        <w:rPr>
          <w:rFonts w:ascii="Times New Roman" w:cs="Times New Roman" w:eastAsia="Times New Roman" w:hAnsi="Times New Roman"/>
          <w:sz w:val="18"/>
          <w:szCs w:val="18"/>
          <w:color w:val="auto"/>
        </w:rPr>
        <w:t>. The Company shall use commercially reasonable efforts to register or qualify or cooperate with the Investor and their counsel in connection with the registration or qualification of such Registrable Securities for the offer and sale under the securities or blue sky laws of such jurisdictions reasonably requested by the Investor; provided, however, that the Company shall not be required in connection therewith or as a condition thereto to (i) qualify to do business in any jurisdiction where it would not otherwise be required to qualify but for this Section 3(i), (ii) subject itself to general taxation in any jurisdiction where it would not otherwise be so subject but for this Section 3(i), or (iii) file a general consent to service of process in any such jurisdiction.</w:t>
      </w:r>
    </w:p>
    <w:p>
      <w:pPr>
        <w:spacing w:after="0" w:line="202" w:lineRule="exact"/>
        <w:rPr>
          <w:rFonts w:ascii="Times New Roman" w:cs="Times New Roman" w:eastAsia="Times New Roman" w:hAnsi="Times New Roman"/>
          <w:sz w:val="20"/>
          <w:szCs w:val="20"/>
          <w:color w:val="auto"/>
        </w:rPr>
      </w:pPr>
    </w:p>
    <w:p>
      <w:pPr>
        <w:jc w:val="both"/>
        <w:ind w:firstLine="1505"/>
        <w:spacing w:after="0" w:line="248" w:lineRule="auto"/>
        <w:tabs>
          <w:tab w:leader="none" w:pos="2036"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(i) make and keep adequate current public information available, as those terms are understood and defined in Rule 144, until the earlier of</w:t>
      </w:r>
    </w:p>
    <w:p>
      <w:pPr>
        <w:jc w:val="both"/>
        <w:ind w:firstLine="8"/>
        <w:spacing w:after="0" w:line="252" w:lineRule="auto"/>
        <w:tabs>
          <w:tab w:leader="none" w:pos="3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(6) months after such date as all of the Registrable Securities may be sold without restriction by the holders thereof pursuant to Rule 144 or any other rule of similar effect or (B) such date as there are no longer Registrable Securities; (ii) file with the SEC in a timely manner all reports and other documents required of the Company under the Exchange Act;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and (iv) provide any legal opinions reasonably necessary.</w:t>
      </w:r>
    </w:p>
    <w:p>
      <w:pPr>
        <w:spacing w:after="0" w:line="201" w:lineRule="exact"/>
        <w:rPr>
          <w:rFonts w:ascii="Times New Roman" w:cs="Times New Roman" w:eastAsia="Times New Roman" w:hAnsi="Times New Roman"/>
          <w:sz w:val="18"/>
          <w:szCs w:val="18"/>
          <w:color w:val="auto"/>
        </w:rPr>
      </w:pPr>
    </w:p>
    <w:p>
      <w:pPr>
        <w:jc w:val="both"/>
        <w:ind w:firstLine="1505"/>
        <w:spacing w:after="0" w:line="251" w:lineRule="auto"/>
        <w:tabs>
          <w:tab w:leader="none" w:pos="2036"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Delivery of Shares</w:t>
      </w:r>
      <w:r>
        <w:rPr>
          <w:rFonts w:ascii="Times New Roman" w:cs="Times New Roman" w:eastAsia="Times New Roman" w:hAnsi="Times New Roman"/>
          <w:sz w:val="18"/>
          <w:szCs w:val="18"/>
          <w:color w:val="auto"/>
        </w:rPr>
        <w:t>.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to the extent permitted by such Registration Statement or Rule 144 to effect sales of Registrable Securities; for the avoidance of doubt, the Company may satisfy its obligations hereunder without issuing physical stock certificates through the use of The Depository Trust Company’s Direct Registration System.</w:t>
      </w:r>
    </w:p>
    <w:p>
      <w:pPr>
        <w:spacing w:after="0" w:line="202" w:lineRule="exact"/>
        <w:rPr>
          <w:rFonts w:ascii="Times New Roman" w:cs="Times New Roman" w:eastAsia="Times New Roman" w:hAnsi="Times New Roman"/>
          <w:sz w:val="20"/>
          <w:szCs w:val="20"/>
          <w:color w:val="auto"/>
        </w:rPr>
      </w:pPr>
    </w:p>
    <w:p>
      <w:pPr>
        <w:ind w:firstLine="1505"/>
        <w:spacing w:after="0" w:line="255" w:lineRule="auto"/>
        <w:tabs>
          <w:tab w:leader="none" w:pos="2036"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Company shall use commercially reasonable efforts to cause the Company’s transfer agent to remove any restrictive legend from any Registrable Securities, as promptly as practicable following such request.</w:t>
      </w:r>
    </w:p>
    <w:p>
      <w:pPr>
        <w:spacing w:after="0" w:line="193"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OBLIGATIONS OF THE INVESTORS.</w:t>
      </w:r>
    </w:p>
    <w:p>
      <w:pPr>
        <w:spacing w:after="0" w:line="219" w:lineRule="exact"/>
        <w:rPr>
          <w:rFonts w:ascii="Times New Roman" w:cs="Times New Roman" w:eastAsia="Times New Roman" w:hAnsi="Times New Roman"/>
          <w:sz w:val="20"/>
          <w:szCs w:val="20"/>
          <w:b w:val="1"/>
          <w:bCs w:val="1"/>
          <w:color w:val="auto"/>
        </w:rPr>
      </w:pPr>
    </w:p>
    <w:p>
      <w:pPr>
        <w:jc w:val="both"/>
        <w:ind w:firstLine="1505"/>
        <w:spacing w:after="0" w:line="252" w:lineRule="auto"/>
        <w:tabs>
          <w:tab w:leader="none" w:pos="2036"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Investor Information</w:t>
      </w:r>
      <w:r>
        <w:rPr>
          <w:rFonts w:ascii="Times New Roman" w:cs="Times New Roman" w:eastAsia="Times New Roman" w:hAnsi="Times New Roman"/>
          <w:sz w:val="18"/>
          <w:szCs w:val="18"/>
          <w:color w:val="auto"/>
        </w:rPr>
        <w:t xml:space="preserve">. The Investors shall provide a completed Investor Questionnaire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in connection with the registration of the Registrable Securities. The Investors will as promptly as practicable notify the Company of any material change in the information provided hereunder, other than changes in its ownership of Common Stock.</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5" w:name="page56"/>
    <w:bookmarkEnd w:id="55"/>
    <w:p>
      <w:pPr>
        <w:jc w:val="both"/>
        <w:ind w:firstLine="1505"/>
        <w:spacing w:after="0" w:line="251" w:lineRule="auto"/>
        <w:tabs>
          <w:tab w:leader="none" w:pos="203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xml:space="preserve">. The Investors agree that, upon receipt of any notice from the Company of the existence of a Suspension Event as set forth in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the Investors will immediately discontinue disposition of Registrable Securities pursuant to any Registration Statement covering such Registrable Securities until the Investors' receipt of a notice from the Company confirming the resolution of such Suspension Event and that such dispositions may again be made.</w:t>
      </w:r>
    </w:p>
    <w:p>
      <w:pPr>
        <w:spacing w:after="0" w:line="203" w:lineRule="exact"/>
        <w:rPr>
          <w:rFonts w:ascii="Times New Roman" w:cs="Times New Roman" w:eastAsia="Times New Roman" w:hAnsi="Times New Roman"/>
          <w:sz w:val="20"/>
          <w:szCs w:val="20"/>
          <w:color w:val="auto"/>
        </w:rPr>
      </w:pPr>
    </w:p>
    <w:p>
      <w:pPr>
        <w:jc w:val="both"/>
        <w:ind w:firstLine="1505"/>
        <w:spacing w:after="0" w:line="252" w:lineRule="auto"/>
        <w:tabs>
          <w:tab w:leader="none" w:pos="203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Investor Cooperation</w:t>
      </w:r>
      <w:r>
        <w:rPr>
          <w:rFonts w:ascii="Times New Roman" w:cs="Times New Roman" w:eastAsia="Times New Roman" w:hAnsi="Times New Roman"/>
          <w:sz w:val="18"/>
          <w:szCs w:val="18"/>
          <w:color w:val="auto"/>
        </w:rPr>
        <w:t>. The Investors agree to cooperate with the Company as reasonably requested by the Company in connection with the preparation and filing of any amendments and supplements to any Registration Statement or New Registration Statement hereunder, unless any Investor has notified the Company in writing of its election to exclude all of its Registrable Securities from such Registration Statement.</w:t>
      </w:r>
    </w:p>
    <w:p>
      <w:pPr>
        <w:spacing w:after="0" w:line="197" w:lineRule="exact"/>
        <w:rPr>
          <w:sz w:val="20"/>
          <w:szCs w:val="20"/>
          <w:color w:val="auto"/>
        </w:rPr>
      </w:pPr>
    </w:p>
    <w:p>
      <w:pPr>
        <w:ind w:left="1140" w:hanging="383"/>
        <w:spacing w:after="0"/>
        <w:tabs>
          <w:tab w:leader="none" w:pos="114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EXPENSES OF REGISTRATION.</w:t>
      </w:r>
    </w:p>
    <w:p>
      <w:pPr>
        <w:spacing w:after="0" w:line="206"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All Registration Expenses incurred in connection with registrations pursuant to this Agreement shall be borne by the Company. All Selling Expenses relating to securities registered on behalf of the Investors shall be borne by the Investors pro rata on the basis of the number of Registrable Securities so registered.</w:t>
      </w:r>
    </w:p>
    <w:p>
      <w:pPr>
        <w:spacing w:after="0" w:line="185" w:lineRule="exact"/>
        <w:rPr>
          <w:sz w:val="20"/>
          <w:szCs w:val="20"/>
          <w:color w:val="auto"/>
        </w:rPr>
      </w:pPr>
    </w:p>
    <w:p>
      <w:pPr>
        <w:ind w:left="1140" w:hanging="383"/>
        <w:spacing w:after="0"/>
        <w:tabs>
          <w:tab w:leader="none" w:pos="114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INDEMNIFICATION.</w:t>
      </w:r>
    </w:p>
    <w:p>
      <w:pPr>
        <w:spacing w:after="0" w:line="219" w:lineRule="exact"/>
        <w:rPr>
          <w:rFonts w:ascii="Times New Roman" w:cs="Times New Roman" w:eastAsia="Times New Roman" w:hAnsi="Times New Roman"/>
          <w:sz w:val="20"/>
          <w:szCs w:val="20"/>
          <w:b w:val="1"/>
          <w:bCs w:val="1"/>
          <w:color w:val="auto"/>
        </w:rPr>
      </w:pPr>
    </w:p>
    <w:p>
      <w:pPr>
        <w:jc w:val="both"/>
        <w:ind w:firstLine="1505"/>
        <w:spacing w:after="0" w:line="250" w:lineRule="auto"/>
        <w:tabs>
          <w:tab w:leader="none" w:pos="203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To the fullest extent permitted by law, the Company will, and hereby does, indemnify, hold harmless and defend the Investors, each Person, if any, who controls the Investors, the members, the directors, officers, partners, employees, managers, agents, representatives and advisors of the Investors and each Person, if any, who controls the Investors within the meaning of the Securities Act or the Exchange Act (each, an “</w:t>
      </w:r>
      <w:r>
        <w:rPr>
          <w:rFonts w:ascii="Times New Roman" w:cs="Times New Roman" w:eastAsia="Times New Roman" w:hAnsi="Times New Roman"/>
          <w:sz w:val="18"/>
          <w:szCs w:val="18"/>
          <w:u w:val="single" w:color="auto"/>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against any losses, obligations, claims, damages, liabilities, contingencies, judgments, fines, penalties, charges, costs (including, without limitation, court costs and costs of preparation, reasonable and documented attorneys’ fees, amounts paid in settlement (with the prior consent of the Company, such consent not to be unreasonably withheld) or reasonable and documented expenses,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cs="Times New Roman" w:eastAsia="Times New Roman" w:hAnsi="Times New Roman"/>
          <w:sz w:val="18"/>
          <w:szCs w:val="18"/>
          <w:u w:val="single" w:color="auto"/>
          <w:color w:val="auto"/>
        </w:rPr>
        <w:t>Indemnified Damages</w:t>
      </w:r>
      <w:r>
        <w:rPr>
          <w:rFonts w:ascii="Times New Roman" w:cs="Times New Roman" w:eastAsia="Times New Roman" w:hAnsi="Times New Roman"/>
          <w:sz w:val="18"/>
          <w:szCs w:val="18"/>
          <w:color w:val="auto"/>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cs="Times New Roman" w:eastAsia="Times New Roman" w:hAnsi="Times New Roman"/>
          <w:sz w:val="18"/>
          <w:szCs w:val="18"/>
          <w:u w:val="single" w:color="auto"/>
          <w:color w:val="auto"/>
        </w:rPr>
        <w:t>Violations</w:t>
      </w:r>
      <w:r>
        <w:rPr>
          <w:rFonts w:ascii="Times New Roman" w:cs="Times New Roman" w:eastAsia="Times New Roman" w:hAnsi="Times New Roman"/>
          <w:sz w:val="18"/>
          <w:szCs w:val="18"/>
          <w:color w:val="auto"/>
        </w:rPr>
        <w:t xml:space="preserve">”). The Company shall reimburse each Indemnified Person promptly as such expenses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(A) shall not apply to a Claim by an Indemnified Person arising out of or based upon a Violation which occurs in reliance upon and in conformity with information furnished in writing to the Company by the Investors or such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in each case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Investors to deliver, or cause to be delivered, if required the prospectus to the Persons asserting an untrue statement or omission or alleged untrue statement or omission at or prior to the written confirmation of the sale of Registrable Securities; and (D) shall</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56" w:name="page57"/>
    <w:bookmarkEnd w:id="56"/>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Investor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505"/>
        <w:spacing w:after="0" w:line="250" w:lineRule="auto"/>
        <w:tabs>
          <w:tab w:leader="none" w:pos="203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 connection with the Initial Registration Statement, any New Registration Statement or any prospectus, each Investor, severally and not jointly, agrees to indemnify, hold harmless and defend, the Company, each of its directors, each of its officers who signed the Initial Registration Statement or signs any New Registration Statement, each Person, if any, who controls the Company within the meaning of the Securities Act or the Exchange Act (collectively and together with an Indemnified Person, an “Indemnified Party”), against any losses, claims, damages, liabilities and expense (including reasonable attorney fees) resulting from any Violation, in each case to the extent, and only to the extent, that such Violation occurs in reliance upon and in conformity with information about such Investor furnished in writing by such Investor to the Company and reviewed and approved in writing by such Investor or such Indemnified Person expressly for use in connection with the preparation of the Registration Statement, any New Registration Statement, any prospectus or any such amendment thereof or supplement thereto. In no event shall the liability of any Investor be greater in amount than the dollar amount of the proceeds (net of all expense paid by Investor in connection with any claim relating to this Section 6 and the amount of any damages Investor has otherwise been required to pay by reason of such untrue statement or omission) received by Investor upon the sale of the Registrable Securities included in such Registration Statement giving rise to such indemnification obligation. Such indemnity shall remain in full force and effect regardless of any investigation made by or on behalf of such Indemnified Party and shall survive the transfer of the Registrable Securities by any Investor pursuant to Section 8.</w:t>
      </w:r>
    </w:p>
    <w:p>
      <w:pPr>
        <w:spacing w:after="0" w:line="210"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Promptly after receipt by an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except to the extent that the indemnifying party is prejudiced in its ability to defend such action.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7" w:name="page58"/>
    <w:bookmarkEnd w:id="57"/>
    <w:p>
      <w:pPr>
        <w:jc w:val="both"/>
        <w:ind w:firstLine="1505"/>
        <w:spacing w:after="0" w:line="251" w:lineRule="auto"/>
        <w:tabs>
          <w:tab w:leader="none" w:pos="203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The indemnification required by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which person is later determined to not be entitled to such payment shall return such payment (including reimbursement of expenses) to the person making it.</w:t>
      </w:r>
    </w:p>
    <w:p>
      <w:pPr>
        <w:spacing w:after="0" w:line="203" w:lineRule="exact"/>
        <w:rPr>
          <w:rFonts w:ascii="Times New Roman" w:cs="Times New Roman" w:eastAsia="Times New Roman" w:hAnsi="Times New Roman"/>
          <w:sz w:val="20"/>
          <w:szCs w:val="20"/>
          <w:color w:val="auto"/>
        </w:rPr>
      </w:pPr>
    </w:p>
    <w:p>
      <w:pPr>
        <w:ind w:right="20" w:firstLine="1505"/>
        <w:spacing w:after="0" w:line="255" w:lineRule="auto"/>
        <w:tabs>
          <w:tab w:leader="none" w:pos="203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93" w:lineRule="exact"/>
        <w:rPr>
          <w:sz w:val="20"/>
          <w:szCs w:val="20"/>
          <w:color w:val="auto"/>
        </w:rPr>
      </w:pPr>
    </w:p>
    <w:p>
      <w:pPr>
        <w:ind w:left="1140" w:hanging="383"/>
        <w:spacing w:after="0"/>
        <w:tabs>
          <w:tab w:leader="none" w:pos="114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CONTRIBUTION.</w:t>
      </w:r>
    </w:p>
    <w:p>
      <w:pPr>
        <w:spacing w:after="0" w:line="206"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8"/>
          <w:szCs w:val="18"/>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the fullest extent permitted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no Person guilty of fraudulent misrepresentation (within the meaning of Section 11(f) of the Securities Act) shall be entitled to contribution from any Person who was not guilty of fraudulent misrepresentation; and (ii) contribution by any seller of Registrable Securities shall be limited in amount to the net amount of proceeds (net of all expenses paid by such holder in connection with any claim relating to this Section 7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spacing w:after="0" w:line="198" w:lineRule="exact"/>
        <w:rPr>
          <w:sz w:val="20"/>
          <w:szCs w:val="20"/>
          <w:color w:val="auto"/>
        </w:rPr>
      </w:pPr>
    </w:p>
    <w:p>
      <w:pPr>
        <w:ind w:left="1140" w:hanging="383"/>
        <w:spacing w:after="0"/>
        <w:tabs>
          <w:tab w:leader="none" w:pos="114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ASSIGNMENT OF REGISTRATION RIGHTS.</w:t>
      </w:r>
    </w:p>
    <w:p>
      <w:pPr>
        <w:spacing w:after="0" w:line="206"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The Company shall not assign this Agreement or any rights or obligations hereunder (whether by operation of law or otherwise) without the prior written consent of the Investors holding a majority of the Registrable Securities then outstanding;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Investors holding a majority of the Registrable Securities then outstanding shall not be required for such transaction. An Investor may assign its rights under this Agreement without the consent of the Company to the extent provided in the Purchase Agreement. The provisions of this Agreement shall be binding upon and inure to the benefit of the Investor and its successors and permitted assigns.</w:t>
      </w:r>
    </w:p>
    <w:p>
      <w:pPr>
        <w:spacing w:after="0" w:line="204" w:lineRule="exact"/>
        <w:rPr>
          <w:sz w:val="20"/>
          <w:szCs w:val="20"/>
          <w:color w:val="auto"/>
        </w:rPr>
      </w:pPr>
    </w:p>
    <w:p>
      <w:pPr>
        <w:ind w:left="1140" w:hanging="383"/>
        <w:spacing w:after="0"/>
        <w:tabs>
          <w:tab w:leader="none" w:pos="114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AMENDMENTS AND WAIVERS.</w:t>
      </w:r>
    </w:p>
    <w:p>
      <w:pPr>
        <w:spacing w:after="0" w:line="20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8"/>
          <w:szCs w:val="18"/>
          <w:color w:val="auto"/>
        </w:rPr>
        <w:t>The provisions of this Agreement, including the provisions of this sentence, may be amended, modified or supplemented, or waived only by a written instrument executed by (i) the Company and (ii) the holders of a majority of the then outstanding Registrable Securities (the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xml:space="preserve">”) (voting together as a single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party may give a waiver as to itself and provided further provided, that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w:t>
      </w:r>
    </w:p>
    <w:p>
      <w:pPr>
        <w:spacing w:after="0" w:line="188" w:lineRule="exact"/>
        <w:rPr>
          <w:sz w:val="20"/>
          <w:szCs w:val="20"/>
          <w:color w:val="auto"/>
        </w:rPr>
      </w:pPr>
    </w:p>
    <w:p>
      <w:pPr>
        <w:ind w:left="1140" w:hanging="383"/>
        <w:spacing w:after="0"/>
        <w:tabs>
          <w:tab w:leader="none" w:pos="114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MISCELLANEOUS.</w:t>
      </w:r>
    </w:p>
    <w:p>
      <w:pPr>
        <w:spacing w:after="0" w:line="219" w:lineRule="exact"/>
        <w:rPr>
          <w:rFonts w:ascii="Times New Roman" w:cs="Times New Roman" w:eastAsia="Times New Roman" w:hAnsi="Times New Roman"/>
          <w:sz w:val="20"/>
          <w:szCs w:val="20"/>
          <w:b w:val="1"/>
          <w:bCs w:val="1"/>
          <w:color w:val="auto"/>
        </w:rPr>
      </w:pPr>
    </w:p>
    <w:p>
      <w:pPr>
        <w:ind w:firstLine="1505"/>
        <w:spacing w:after="0" w:line="255" w:lineRule="auto"/>
        <w:tabs>
          <w:tab w:leader="none" w:pos="2036"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or other communications required or permitted to be given hereunder shall be in writing and shall be deemed to be given (a) when delivered if personally delivered to the party for whom</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18"/>
          <w:szCs w:val="18"/>
          <w:color w:val="auto"/>
        </w:rPr>
        <w:t>it is intended, (b) when delivered, if sent by electronic mail during normal business hours of the recipient, and if not sent during normal business hours, then on the recipient’s next Business Day,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spacing w:after="0" w:line="193" w:lineRule="exact"/>
        <w:rPr>
          <w:sz w:val="20"/>
          <w:szCs w:val="20"/>
          <w:color w:val="auto"/>
        </w:rPr>
      </w:pPr>
    </w:p>
    <w:p>
      <w:pPr>
        <w:ind w:left="2560" w:hanging="208"/>
        <w:spacing w:after="0"/>
        <w:tabs>
          <w:tab w:leader="none" w:pos="25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If to the Company, addressed as follows:</w:t>
      </w:r>
    </w:p>
    <w:p>
      <w:pPr>
        <w:spacing w:after="0" w:line="16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Pyxis Oncology, Inc.</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321 Harrison Avenue</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11th Floor, Suite 1</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Boston, MA 02118</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Attention: Thomas Civik</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with a copy (which shall not constitute notice):</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2850 Quarry Lake Drive, Suite 280</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Baltimore, MD 21209</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Attention: Asher Rubin</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pacing w:after="0" w:line="236" w:lineRule="exact"/>
        <w:rPr>
          <w:sz w:val="20"/>
          <w:szCs w:val="20"/>
          <w:color w:val="auto"/>
        </w:rPr>
      </w:pPr>
    </w:p>
    <w:p>
      <w:pPr>
        <w:ind w:left="760" w:firstLine="1564"/>
        <w:spacing w:after="0" w:line="255" w:lineRule="auto"/>
        <w:tabs>
          <w:tab w:leader="none" w:pos="255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If to any Investor, at its address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Purchase Agreement or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Person may change the address to which notices and communications to it are to be addressed by notification as provided for herein.</w:t>
      </w:r>
    </w:p>
    <w:p>
      <w:pPr>
        <w:spacing w:after="0" w:line="239" w:lineRule="exact"/>
        <w:rPr>
          <w:sz w:val="20"/>
          <w:szCs w:val="20"/>
          <w:color w:val="auto"/>
        </w:rPr>
      </w:pPr>
    </w:p>
    <w:p>
      <w:pPr>
        <w:jc w:val="both"/>
        <w:ind w:firstLine="1505"/>
        <w:spacing w:after="0" w:line="252" w:lineRule="auto"/>
        <w:tabs>
          <w:tab w:leader="none" w:pos="203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xml:space="preserve"> No failure or delay on the part of either party hereto in the exercise of any power, right or privilege under this Agreement shall operate as a waiver thereof, nor shall any single or partial exercise of any such power, right or privilege preclude any other or further exercise thereof or of any other right, power or privilege.</w:t>
      </w:r>
    </w:p>
    <w:p>
      <w:pPr>
        <w:spacing w:after="0" w:line="19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The provisions of Section 8.5 of the Purchase Agreement are incorporated by reference herein </w:t>
      </w:r>
      <w:r>
        <w:rPr>
          <w:rFonts w:ascii="Times New Roman" w:cs="Times New Roman" w:eastAsia="Times New Roman" w:hAnsi="Times New Roman"/>
          <w:sz w:val="18"/>
          <w:szCs w:val="18"/>
          <w:i w:val="1"/>
          <w:iCs w:val="1"/>
          <w:color w:val="auto"/>
        </w:rPr>
        <w:t>mutatis</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218" w:lineRule="exact"/>
        <w:rPr>
          <w:rFonts w:ascii="Times New Roman" w:cs="Times New Roman" w:eastAsia="Times New Roman" w:hAnsi="Times New Roman"/>
          <w:sz w:val="20"/>
          <w:szCs w:val="20"/>
          <w:color w:val="auto"/>
        </w:rPr>
      </w:pPr>
    </w:p>
    <w:p>
      <w:pPr>
        <w:jc w:val="both"/>
        <w:ind w:firstLine="1505"/>
        <w:spacing w:after="0" w:line="251" w:lineRule="auto"/>
        <w:tabs>
          <w:tab w:leader="none" w:pos="203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the Purchase Agreement constitute the entire understanding among the parties hereto with respect to the subject matter hereof and thereof. There are no restrictions, promises, warranties or undertakings, other than those set forth or referred to herein and therein. This Agreement and the Purchase Agreement supersede all other prior oral or written agreements between the Investors, the Company, their affiliates and persons acting on their behalf with respect to the subject matter hereof and thereof.</w:t>
      </w:r>
    </w:p>
    <w:p>
      <w:pPr>
        <w:spacing w:after="0" w:line="203" w:lineRule="exact"/>
        <w:rPr>
          <w:rFonts w:ascii="Times New Roman" w:cs="Times New Roman" w:eastAsia="Times New Roman" w:hAnsi="Times New Roman"/>
          <w:sz w:val="20"/>
          <w:szCs w:val="20"/>
          <w:color w:val="auto"/>
        </w:rPr>
      </w:pPr>
    </w:p>
    <w:p>
      <w:pPr>
        <w:jc w:val="both"/>
        <w:ind w:firstLine="1505"/>
        <w:spacing w:after="0" w:line="251" w:lineRule="auto"/>
        <w:tabs>
          <w:tab w:leader="none" w:pos="203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203" w:lineRule="exact"/>
        <w:rPr>
          <w:rFonts w:ascii="Times New Roman" w:cs="Times New Roman" w:eastAsia="Times New Roman" w:hAnsi="Times New Roman"/>
          <w:sz w:val="20"/>
          <w:szCs w:val="20"/>
          <w:color w:val="auto"/>
        </w:rPr>
      </w:pPr>
    </w:p>
    <w:p>
      <w:pPr>
        <w:ind w:firstLine="1505"/>
        <w:spacing w:after="0" w:line="255" w:lineRule="auto"/>
        <w:tabs>
          <w:tab w:leader="none" w:pos="203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titles, subtitles and headings in this Agreement are for convenience of reference and shall not form part of, or affect the interpretation of, this Agreement.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9" w:name="page60"/>
    <w:bookmarkEnd w:id="59"/>
    <w:p>
      <w:pPr>
        <w:spacing w:after="0" w:line="207" w:lineRule="exact"/>
        <w:rPr>
          <w:sz w:val="20"/>
          <w:szCs w:val="20"/>
          <w:color w:val="auto"/>
        </w:rPr>
      </w:pPr>
    </w:p>
    <w:p>
      <w:pPr>
        <w:jc w:val="both"/>
        <w:ind w:left="-1120" w:firstLine="1505"/>
        <w:spacing w:after="0" w:line="251" w:lineRule="auto"/>
        <w:tabs>
          <w:tab w:leader="none" w:pos="91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203" w:lineRule="exact"/>
        <w:rPr>
          <w:rFonts w:ascii="Times New Roman" w:cs="Times New Roman" w:eastAsia="Times New Roman" w:hAnsi="Times New Roman"/>
          <w:sz w:val="20"/>
          <w:szCs w:val="20"/>
          <w:color w:val="auto"/>
        </w:rPr>
      </w:pPr>
    </w:p>
    <w:p>
      <w:pPr>
        <w:jc w:val="both"/>
        <w:ind w:left="-1120" w:firstLine="1505"/>
        <w:spacing w:after="0" w:line="252" w:lineRule="auto"/>
        <w:tabs>
          <w:tab w:leader="none" w:pos="91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201" w:lineRule="exact"/>
        <w:rPr>
          <w:rFonts w:ascii="Times New Roman" w:cs="Times New Roman" w:eastAsia="Times New Roman" w:hAnsi="Times New Roman"/>
          <w:sz w:val="20"/>
          <w:szCs w:val="20"/>
          <w:color w:val="auto"/>
        </w:rPr>
      </w:pPr>
    </w:p>
    <w:p>
      <w:pPr>
        <w:ind w:left="-1120" w:firstLine="1505"/>
        <w:spacing w:after="0" w:line="255" w:lineRule="auto"/>
        <w:tabs>
          <w:tab w:leader="none" w:pos="91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97" w:lineRule="exact"/>
        <w:rPr>
          <w:rFonts w:ascii="Times New Roman" w:cs="Times New Roman" w:eastAsia="Times New Roman" w:hAnsi="Times New Roman"/>
          <w:sz w:val="20"/>
          <w:szCs w:val="20"/>
          <w:color w:val="auto"/>
        </w:rPr>
      </w:pPr>
    </w:p>
    <w:p>
      <w:pPr>
        <w:jc w:val="both"/>
        <w:ind w:left="-1120" w:firstLine="1505"/>
        <w:spacing w:after="0" w:line="251" w:lineRule="auto"/>
        <w:tabs>
          <w:tab w:leader="none" w:pos="91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spacing w:after="0" w:line="203" w:lineRule="exact"/>
        <w:rPr>
          <w:rFonts w:ascii="Times New Roman" w:cs="Times New Roman" w:eastAsia="Times New Roman" w:hAnsi="Times New Roman"/>
          <w:sz w:val="20"/>
          <w:szCs w:val="20"/>
          <w:color w:val="auto"/>
        </w:rPr>
      </w:pPr>
    </w:p>
    <w:p>
      <w:pPr>
        <w:jc w:val="both"/>
        <w:ind w:left="-1120" w:firstLine="1505"/>
        <w:spacing w:after="0" w:line="251" w:lineRule="auto"/>
        <w:tabs>
          <w:tab w:leader="none" w:pos="91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spacing w:after="0" w:line="201" w:lineRule="exact"/>
        <w:rPr>
          <w:rFonts w:ascii="Times New Roman" w:cs="Times New Roman" w:eastAsia="Times New Roman" w:hAnsi="Times New Roman"/>
          <w:sz w:val="20"/>
          <w:szCs w:val="20"/>
          <w:color w:val="auto"/>
        </w:rPr>
      </w:pPr>
    </w:p>
    <w:p>
      <w:pPr>
        <w:ind w:left="3560" w:right="500" w:hanging="3175"/>
        <w:spacing w:after="0" w:line="505" w:lineRule="auto"/>
        <w:tabs>
          <w:tab w:leader="none" w:pos="9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xml:space="preserve">. The remedies provided herein are cumulative and not exclusive of any remedies provided by law. </w:t>
      </w:r>
      <w:r>
        <w:rPr>
          <w:rFonts w:ascii="Times New Roman" w:cs="Times New Roman" w:eastAsia="Times New Roman" w:hAnsi="Times New Roman"/>
          <w:sz w:val="18"/>
          <w:szCs w:val="18"/>
          <w:i w:val="1"/>
          <w:iCs w:val="1"/>
          <w:color w:val="auto"/>
        </w:rPr>
        <w:t>[Signature Page Follows]</w:t>
      </w:r>
    </w:p>
    <w:p>
      <w:pPr>
        <w:spacing w:after="0" w:line="7" w:lineRule="exact"/>
        <w:rPr>
          <w:rFonts w:ascii="Times New Roman" w:cs="Times New Roman" w:eastAsia="Times New Roman" w:hAnsi="Times New Roman"/>
          <w:sz w:val="20"/>
          <w:szCs w:val="20"/>
          <w:color w:val="auto"/>
        </w:rPr>
      </w:pPr>
    </w:p>
    <w:p>
      <w:pPr>
        <w:ind w:left="4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567055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caused this Registration Rights Agreement to be duly executed as of date first written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8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6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569595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13" w:right="59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caused this Registration Rights Agreement to be duly executed as of date first written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0" w:lineRule="exact"/>
        <w:rPr>
          <w:sz w:val="20"/>
          <w:szCs w:val="20"/>
          <w:color w:val="auto"/>
        </w:rPr>
      </w:pP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-7620</wp:posOffset>
            </wp:positionV>
            <wp:extent cx="1524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3105150</wp:posOffset>
            </wp:positionH>
            <wp:positionV relativeFrom="paragraph">
              <wp:posOffset>-7620</wp:posOffset>
            </wp:positionV>
            <wp:extent cx="2095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95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569595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13" w:right="59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Investor Questionnaire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25" w:lineRule="exact"/>
        <w:rPr>
          <w:sz w:val="20"/>
          <w:szCs w:val="20"/>
          <w:color w:val="auto"/>
        </w:rPr>
      </w:pPr>
    </w:p>
    <w:p>
      <w:pPr>
        <w:ind w:left="360" w:hanging="352"/>
        <w:spacing w:after="0"/>
        <w:tabs>
          <w:tab w:leader="none" w:pos="3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29" w:lineRule="exact"/>
        <w:rPr>
          <w:rFonts w:ascii="Times New Roman" w:cs="Times New Roman" w:eastAsia="Times New Roman" w:hAnsi="Times New Roman"/>
          <w:sz w:val="18"/>
          <w:szCs w:val="18"/>
          <w:b w:val="1"/>
          <w:bCs w:val="1"/>
          <w:color w:val="auto"/>
        </w:rPr>
      </w:pPr>
    </w:p>
    <w:p>
      <w:pPr>
        <w:ind w:left="720" w:hanging="352"/>
        <w:spacing w:after="0"/>
        <w:tabs>
          <w:tab w:leader="none" w:pos="7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Investor ________________________________________________</w:t>
      </w:r>
    </w:p>
    <w:p>
      <w:pPr>
        <w:spacing w:after="0" w:line="225" w:lineRule="exact"/>
        <w:rPr>
          <w:rFonts w:ascii="Times New Roman" w:cs="Times New Roman" w:eastAsia="Times New Roman" w:hAnsi="Times New Roman"/>
          <w:sz w:val="18"/>
          <w:szCs w:val="18"/>
          <w:color w:val="auto"/>
        </w:rPr>
      </w:pPr>
    </w:p>
    <w:p>
      <w:pPr>
        <w:ind w:left="720" w:hanging="352"/>
        <w:spacing w:after="0"/>
        <w:tabs>
          <w:tab w:leader="none" w:pos="7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7"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w:t>
      </w:r>
    </w:p>
    <w:p>
      <w:pPr>
        <w:spacing w:after="0" w:line="206" w:lineRule="exact"/>
        <w:rPr>
          <w:rFonts w:ascii="Times New Roman" w:cs="Times New Roman" w:eastAsia="Times New Roman" w:hAnsi="Times New Roman"/>
          <w:sz w:val="18"/>
          <w:szCs w:val="18"/>
          <w:color w:val="auto"/>
        </w:rPr>
      </w:pPr>
    </w:p>
    <w:p>
      <w:pPr>
        <w:ind w:left="720" w:hanging="352"/>
        <w:spacing w:after="0"/>
        <w:tabs>
          <w:tab w:leader="none" w:pos="7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w:t>
      </w:r>
    </w:p>
    <w:p>
      <w:pPr>
        <w:spacing w:after="0" w:line="27" w:lineRule="exact"/>
        <w:rPr>
          <w:rFonts w:ascii="Times New Roman" w:cs="Times New Roman" w:eastAsia="Times New Roman" w:hAnsi="Times New Roman"/>
          <w:sz w:val="18"/>
          <w:szCs w:val="18"/>
          <w:color w:val="auto"/>
        </w:rPr>
      </w:pPr>
    </w:p>
    <w:p>
      <w:pPr>
        <w:ind w:left="15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the securities covered by this Questionnaire):__________________________________________________________________</w:t>
      </w:r>
    </w:p>
    <w:p>
      <w:pPr>
        <w:spacing w:after="0" w:line="17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Address for Notices to Investor: </w:t>
      </w:r>
      <w:r>
        <w:rPr>
          <w:rFonts w:ascii="Times New Roman" w:cs="Times New Roman" w:eastAsia="Times New Roman" w:hAnsi="Times New Roman"/>
          <w:sz w:val="18"/>
          <w:szCs w:val="18"/>
          <w:color w:val="auto"/>
        </w:rPr>
        <w:t>______________________________________________________________</w:t>
      </w:r>
    </w:p>
    <w:p>
      <w:pPr>
        <w:spacing w:after="0" w:line="242" w:lineRule="exact"/>
        <w:rPr>
          <w:rFonts w:ascii="Times New Roman" w:cs="Times New Roman" w:eastAsia="Times New Roman" w:hAnsi="Times New Roman"/>
          <w:sz w:val="18"/>
          <w:szCs w:val="18"/>
          <w:b w:val="1"/>
          <w:bCs w:val="1"/>
          <w:color w:val="auto"/>
        </w:rPr>
      </w:pPr>
    </w:p>
    <w:p>
      <w:pPr>
        <w:ind w:left="2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Telephone:_________________________________________________________________________________</w:t>
      </w:r>
    </w:p>
    <w:p>
      <w:pPr>
        <w:spacing w:after="0" w:line="184" w:lineRule="exact"/>
        <w:rPr>
          <w:rFonts w:ascii="Times New Roman" w:cs="Times New Roman" w:eastAsia="Times New Roman" w:hAnsi="Times New Roman"/>
          <w:sz w:val="18"/>
          <w:szCs w:val="18"/>
          <w:b w:val="1"/>
          <w:bCs w:val="1"/>
          <w:color w:val="auto"/>
        </w:rPr>
      </w:pPr>
    </w:p>
    <w:p>
      <w:pPr>
        <w:ind w:left="2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E-mail: ___________________________________________________________________________________</w:t>
      </w:r>
    </w:p>
    <w:p>
      <w:pPr>
        <w:spacing w:after="0" w:line="184" w:lineRule="exact"/>
        <w:rPr>
          <w:rFonts w:ascii="Times New Roman" w:cs="Times New Roman" w:eastAsia="Times New Roman" w:hAnsi="Times New Roman"/>
          <w:sz w:val="18"/>
          <w:szCs w:val="18"/>
          <w:b w:val="1"/>
          <w:bCs w:val="1"/>
          <w:color w:val="auto"/>
        </w:rPr>
      </w:pPr>
    </w:p>
    <w:p>
      <w:pPr>
        <w:ind w:left="2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Contact Person:_____________________________________________________________________________</w:t>
      </w:r>
    </w:p>
    <w:p>
      <w:pPr>
        <w:spacing w:after="0" w:line="180"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229" w:lineRule="exact"/>
        <w:rPr>
          <w:rFonts w:ascii="Times New Roman" w:cs="Times New Roman" w:eastAsia="Times New Roman" w:hAnsi="Times New Roman"/>
          <w:sz w:val="18"/>
          <w:szCs w:val="18"/>
          <w:b w:val="1"/>
          <w:bCs w:val="1"/>
          <w:color w:val="auto"/>
        </w:rPr>
      </w:pPr>
    </w:p>
    <w:p>
      <w:pPr>
        <w:ind w:left="720" w:hanging="352"/>
        <w:spacing w:after="0"/>
        <w:tabs>
          <w:tab w:leader="none" w:pos="7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225" w:lineRule="exact"/>
        <w:rPr>
          <w:sz w:val="20"/>
          <w:szCs w:val="20"/>
          <w:color w:val="auto"/>
        </w:rPr>
      </w:pPr>
    </w:p>
    <w:p>
      <w:pPr>
        <w:ind w:left="1120"/>
        <w:spacing w:after="0"/>
        <w:tabs>
          <w:tab w:leader="none" w:pos="18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225" w:lineRule="exact"/>
        <w:rPr>
          <w:sz w:val="20"/>
          <w:szCs w:val="20"/>
          <w:color w:val="auto"/>
        </w:rPr>
      </w:pPr>
    </w:p>
    <w:p>
      <w:pPr>
        <w:ind w:left="1120" w:right="800" w:hanging="752"/>
        <w:spacing w:after="0" w:line="500" w:lineRule="auto"/>
        <w:tabs>
          <w:tab w:leader="none" w:pos="73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“yes” to Section 3(a), did you receive your Registrable Securities as compensation for investment banking services to the Company? Yes No</w:t>
      </w:r>
    </w:p>
    <w:p>
      <w:pPr>
        <w:spacing w:after="0" w:line="2"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8"/>
          <w:szCs w:val="18"/>
          <w:color w:val="auto"/>
        </w:rPr>
        <w:t>Note:</w:t>
      </w:r>
      <w:r>
        <w:rPr>
          <w:sz w:val="20"/>
          <w:szCs w:val="20"/>
          <w:color w:val="auto"/>
        </w:rPr>
        <w:tab/>
      </w:r>
      <w:r>
        <w:rPr>
          <w:rFonts w:ascii="Times New Roman" w:cs="Times New Roman" w:eastAsia="Times New Roman" w:hAnsi="Times New Roman"/>
          <w:sz w:val="18"/>
          <w:szCs w:val="18"/>
          <w:color w:val="auto"/>
        </w:rPr>
        <w:t>If “no” to Section 3(b), the Commission’s staff has indicated that you should be identified as an underwriter in the Registration Statement.</w:t>
      </w:r>
    </w:p>
    <w:p>
      <w:pPr>
        <w:spacing w:after="0" w:line="225" w:lineRule="exact"/>
        <w:rPr>
          <w:sz w:val="20"/>
          <w:szCs w:val="20"/>
          <w:color w:val="auto"/>
        </w:rPr>
      </w:pPr>
    </w:p>
    <w:p>
      <w:pPr>
        <w:ind w:left="1120" w:right="7700" w:hanging="752"/>
        <w:spacing w:after="0" w:line="500" w:lineRule="auto"/>
        <w:tabs>
          <w:tab w:leader="none" w:pos="73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an affiliate of a broker-dealer? Yes No</w:t>
      </w:r>
    </w:p>
    <w:p>
      <w:pPr>
        <w:spacing w:after="0" w:line="1" w:lineRule="exact"/>
        <w:rPr>
          <w:rFonts w:ascii="Times New Roman" w:cs="Times New Roman" w:eastAsia="Times New Roman" w:hAnsi="Times New Roman"/>
          <w:sz w:val="18"/>
          <w:szCs w:val="18"/>
          <w:color w:val="auto"/>
        </w:rPr>
      </w:pPr>
    </w:p>
    <w:p>
      <w:pPr>
        <w:ind w:left="1500" w:hanging="1132"/>
        <w:spacing w:after="0" w:line="266" w:lineRule="auto"/>
        <w:tabs>
          <w:tab w:leader="none" w:pos="72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76" w:lineRule="exact"/>
        <w:rPr>
          <w:sz w:val="20"/>
          <w:szCs w:val="20"/>
          <w:color w:val="auto"/>
        </w:rPr>
      </w:pPr>
    </w:p>
    <w:p>
      <w:pPr>
        <w:ind w:left="1120"/>
        <w:spacing w:after="0"/>
        <w:tabs>
          <w:tab w:leader="none" w:pos="18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225"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8"/>
          <w:szCs w:val="18"/>
          <w:color w:val="auto"/>
        </w:rPr>
        <w:t>Note:</w:t>
      </w:r>
      <w:r>
        <w:rPr>
          <w:sz w:val="20"/>
          <w:szCs w:val="20"/>
          <w:color w:val="auto"/>
        </w:rPr>
        <w:tab/>
      </w:r>
      <w:r>
        <w:rPr>
          <w:rFonts w:ascii="Times New Roman" w:cs="Times New Roman" w:eastAsia="Times New Roman" w:hAnsi="Times New Roman"/>
          <w:sz w:val="18"/>
          <w:szCs w:val="18"/>
          <w:color w:val="auto"/>
        </w:rPr>
        <w:t>If “no” to Section 3(d), the Commission’s staff has indicated that you should be identified as an underwriter in the Registration Statement.</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4. Beneficial Ownership of Securities of the Company Owned by the Investor.</w:t>
      </w:r>
    </w:p>
    <w:p>
      <w:pPr>
        <w:spacing w:after="0" w:line="227" w:lineRule="exact"/>
        <w:rPr>
          <w:sz w:val="20"/>
          <w:szCs w:val="20"/>
          <w:color w:val="auto"/>
        </w:rPr>
      </w:pPr>
    </w:p>
    <w:p>
      <w:pPr>
        <w:jc w:val="both"/>
        <w:ind w:left="760"/>
        <w:spacing w:after="0" w:line="284" w:lineRule="auto"/>
        <w:rPr>
          <w:sz w:val="20"/>
          <w:szCs w:val="20"/>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issued or issuable pursuant to the Purchase Agreement.</w:t>
      </w:r>
    </w:p>
    <w:p>
      <w:pPr>
        <w:spacing w:after="0" w:line="160" w:lineRule="exact"/>
        <w:rPr>
          <w:sz w:val="20"/>
          <w:szCs w:val="20"/>
          <w:color w:val="auto"/>
        </w:rPr>
      </w:pPr>
    </w:p>
    <w:p>
      <w:pPr>
        <w:ind w:left="720" w:right="1080" w:hanging="1137"/>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(a)</w:t>
        <w:tab/>
        <w:t>Type and Amount of other securities beneficially owned by the Investor:________________________________________________________________________</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Relationships with the Company:</w:t>
      </w:r>
    </w:p>
    <w:p>
      <w:pPr>
        <w:spacing w:after="0" w:line="227"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or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State any exceptions here:__________________________________________________________</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nature or number of securities held or owned by the undersigned or its affiliates.</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23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Beneficial Owner:</w:t>
      </w:r>
    </w:p>
    <w:p>
      <w:pPr>
        <w:spacing w:after="0" w:line="37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6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PLEASE EMAIL A .PDF COPY OF THE COMPLETED AND EXECUTED QUESTIONNAIRE TO: [***] and [***] at Sidley Austin LLP, counsel to the Company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457325" cy="814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457325" cy="814705"/>
                    </a:xfrm>
                    <a:prstGeom prst="rect">
                      <a:avLst/>
                    </a:prstGeom>
                    <a:noFill/>
                  </pic:spPr>
                </pic:pic>
              </a:graphicData>
            </a:graphic>
          </wp:anchor>
        </w:drawing>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Pyxis Oncology Announces Up to $114 Million Private Placement Financing to Advance MICVO Through Key Clinical Milestones</w:t>
      </w:r>
    </w:p>
    <w:p>
      <w:pPr>
        <w:spacing w:after="0" w:line="227" w:lineRule="exact"/>
        <w:rPr>
          <w:sz w:val="20"/>
          <w:szCs w:val="20"/>
          <w:color w:val="auto"/>
        </w:rPr>
      </w:pPr>
    </w:p>
    <w:p>
      <w:pPr>
        <w:jc w:val="cente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Expected to extend cash runway into the second quarter of 2027, supporting additional follow-up for 2L+ R/M HNSCC patients treated with MICVO at or below a dose cap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now expects updated Phase 1 monotherapy data in Fall 2026 and updated Phase 1/2 combination data in the fourth quarter of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Financing led by BVF Partners L.P. with participation from GordonMD Global Investments, RTW Investments, and Coastlands Capital LP</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BOSTON, June 30, 2026 (GLOBE NEWSWIRE)</w:t>
      </w:r>
      <w:r>
        <w:rPr>
          <w:rFonts w:ascii="Times New Roman" w:cs="Times New Roman" w:eastAsia="Times New Roman" w:hAnsi="Times New Roman"/>
          <w:sz w:val="18"/>
          <w:szCs w:val="18"/>
          <w:color w:val="auto"/>
        </w:rPr>
        <w:t>— Pyxis Oncology, Inc. (Nasdaq: PYXS), a clinical-stage company developing next-generation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for difficult-to-treat cancers, today announced that it has entered into definitive securities purchase agreements for a private placement expected to result in gross proceeds of approximately $50 million, before deducting placement agent fees and offering expenses, and an additional approximately $64 million of gross proceeds if the accompanying warrants are exercised in full for cash.</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financing was led by BVF Partners L.P. with participation from GordonMD Global Investments, RTW Investments, and Coastlands Capital LP. The upfront proceeds are expected to extend the Company’s cash runway into the second quarter of 2027 and support the continued advancement of its lead clinical program, MICVO (micvotabart pelidotin), through key clinical milestones.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pleased to have the support of a high-quality group of new and existing healthcare investors, whose participation reflects confidence in MICVO and our strategy to advance the program,” said Tom Civik, Interim Chief Executive Officer and Director of Pyxis Oncology. “This financing strengthens our balance sheet, provides the flexibility to extend patient follow-up in our expansion trial following completion of enrollment in the first quarter, and enables us to generate additional clinical evidence for MICVO. We look forward to an exciting second half of 2026 as we continue advancing MICVO for patients with head and neck cancer.”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to incorporate additional patient follow-up and planned analyses into its next clinical update and now expects to report updated data from the ongoing Phase 1 monotherapy study in second-line and beyond recurrent/metastatic head and neck squamous cell carcinoma (2L+ R/M HNSCC) in Fall 2026. The update is expected to include patients treated at 5.4 mg/kg IV Q3W with a dose equivalent to or below a dose cap, along with detailed analyses of the dose cap impact on safety, tolerability and efficacy.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expects to report updated data from the ongoing Phase 1/2 dose-escalation study evaluating MICVO in combination with pembrolizumab for first-line (1L) R/M HNSCC in the fourth quarter of 2026.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financing, Pyxis Oncology has agreed to sell 19,600,153 shares of its common stock at a price of $2.551 per share and warrants to purchase an equal number of shares of common stock. The common stock warrants have an exercise price of $3.289 per share and are exercisable in accordance with their terms (including via cashless exercise). The private placement is expected to close on or about July 2, 2026, subject to the satisfaction of customary closing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acted as sole placement agent for the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457325" cy="814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457325" cy="8147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securities described above have not been registered under the Securities Act of 1933, as amended (the “Securities Act”), or applicable state securities laws and may not be offered or sold in the United States absent registration or an applicable exemption from such registration requirements. Pyxis Oncology has agreed to file a registration statement with the U.S. Securities and Exchange Commission covering the resale of the shares of common stock issued in the private placement and the shares issuable upon exercise of the warrants.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these securities, nor shall there be any sale of these securities in any jurisdiction in which such offer, solicitation or sale would be unlawful.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Pyxis Oncology, Inc.</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Pyxis Oncology, Inc. is a clinical-stage biopharmaceutical company developing therapeutics for difficult-to-treat cancers. The Company’s lead candidate, micvotabart pelidotin (MICVO), is a first-in-concept antibody drug conjugate (ADC) that targets extradomain-B of fibronectin (EDB+FN), a non-cellular structural component of the tumor extracellular matrix (ECM). EDB+FN is selectively overexpressed in the tumor microenvironment of a wide range of solid tumors and largely absent from normal adult tissues. MICVO is designed to treat solid tumors through a three-pronged mechanism of action: direct cancer cell killing, bystander effect and immunogenic cell death. MICVO is currently being evaluated as monotherapy in a Phase 1 clinical study in patients with recurrent and metastatic head and neck squamous cell carcinoma (R/M HNSCC) and in combination with Merck’s anti-PD-1 therapy, KEYTRUDA® (pembrolizumab), in a Phase 1/2 clinical study in patients with R/M HNSCC and other solid tumors. Pyxis Oncology is focused on advancing MICVO, with the goal of improving outcomes for patients living with R/M HNSCC and contributing to meaningful progress in cancer treatment.</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MICVO received Fast Track Designation from the U.S. Food and Drug Administration for the treatment of adult patients with R/M HNSCC whose disease has progressed following treatment with platinum-based chemotherapy and an anti-PD-(L)1 therapy.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KEYTRUDA® is a registered trademark of Merck Sharp &amp; Dohme LLC, a subsidiary of Merck &amp; Co., Inc., Rahway, NJ, USA.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visit </w:t>
      </w:r>
      <w:r>
        <w:rPr>
          <w:rFonts w:ascii="Times New Roman" w:cs="Times New Roman" w:eastAsia="Times New Roman" w:hAnsi="Times New Roman"/>
          <w:sz w:val="18"/>
          <w:szCs w:val="18"/>
          <w:u w:val="single" w:color="auto"/>
          <w:color w:val="467886"/>
        </w:rPr>
        <w:t>www.pyxisoncology.com</w:t>
      </w:r>
      <w:r>
        <w:rPr>
          <w:rFonts w:ascii="Times New Roman" w:cs="Times New Roman" w:eastAsia="Times New Roman" w:hAnsi="Times New Roman"/>
          <w:sz w:val="18"/>
          <w:szCs w:val="18"/>
          <w:color w:val="auto"/>
        </w:rPr>
        <w:t> or follow us on </w:t>
      </w:r>
      <w:r>
        <w:rPr>
          <w:rFonts w:ascii="Times New Roman" w:cs="Times New Roman" w:eastAsia="Times New Roman" w:hAnsi="Times New Roman"/>
          <w:sz w:val="18"/>
          <w:szCs w:val="18"/>
          <w:u w:val="single" w:color="auto"/>
          <w:color w:val="467886"/>
        </w:rPr>
        <w:t>LinkedIn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3913505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457325" cy="814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45732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for the purposes of the safe harbor provisions under the Private Securities Litigation Reform Act of 1995 and other federal securities laws. These statements are often identified by the use of words such as “anticipate,” “believe,” “can,” “continue,” “could,” “estimate,” “expect,” “intend,” “likely,” “may,” “might,” “objective,” “ongoing,” “plan,” “potential,” “predict,” “project,” “should,” “to be,” “will,” “would,” or the negative or plural of these words, or similar expressions or variations, although not all forward-looking statements contain these words. We cannot assure you that the events and circumstances reflected in the forward-looking statements will be achieved or occur and actual results could differ materially from those expressed or implied by these forward-looking statements. Factors that could cause or contribute to such differences include, but are not limited to, those identified herein, and those discussed in the section titled “Risk Factors” set forth in Part II, Item 1A. of the Company’s Quarterly Report on Form 10-Q filed with the SEC on May 14, 2026, and our other filings, each of which is on file with the Securities and Exchange Commission. 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hereof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Pyxis Oncology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467886"/>
        </w:rPr>
        <w:t>IR@pyxisoncology.com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1."/>
      <w:numFmt w:val="decimal"/>
      <w:start w:val="1"/>
    </w:lvl>
  </w:abstractNum>
  <w:abstractNum w:abstractNumId="2">
    <w:nsid w:val="3855585C"/>
    <w:multiLevelType w:val="hybridMultilevel"/>
    <w:lvl w:ilvl="0">
      <w:lvlJc w:val="left"/>
      <w:lvlText w:val="%1."/>
      <w:numFmt w:val="decimal"/>
      <w:start w:val="2"/>
    </w:lvl>
  </w:abstractNum>
  <w:abstractNum w:abstractNumId="3">
    <w:nsid w:val="70A64E2A"/>
    <w:multiLevelType w:val="hybridMultilevel"/>
    <w:lvl w:ilvl="0">
      <w:lvlJc w:val="left"/>
      <w:lvlText w:val="%1."/>
      <w:numFmt w:val="decimal"/>
      <w:start w:val="3"/>
    </w:lvl>
  </w:abstractNum>
  <w:abstractNum w:abstractNumId="4">
    <w:nsid w:val="6A2342EC"/>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5">
    <w:nsid w:val="2A487CB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6">
    <w:nsid w:val="1D4ED43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
    <w:nsid w:val="725A06F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8">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9">
    <w:nsid w:val="57E4CCAF"/>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0">
    <w:nsid w:val="7A6D8D3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1">
    <w:nsid w:val="4B588F54"/>
    <w:multiLevelType w:val="hybridMultilevel"/>
    <w:lvl w:ilvl="0">
      <w:lvlJc w:val="left"/>
      <w:lvlText w:val="(%1)"/>
      <w:numFmt w:val="lowerLetter"/>
      <w:start w:val="5"/>
    </w:lvl>
  </w:abstractNum>
  <w:abstractNum w:abstractNumId="12">
    <w:nsid w:val="542289EC"/>
    <w:multiLevelType w:val="hybridMultilevel"/>
    <w:lvl w:ilvl="0">
      <w:lvlJc w:val="left"/>
      <w:lvlText w:val="(%1)"/>
      <w:numFmt w:val="lowerLetter"/>
      <w:start w:val="6"/>
    </w:lvl>
  </w:abstractNum>
  <w:abstractNum w:abstractNumId="13">
    <w:nsid w:val="6DE91B18"/>
    <w:multiLevelType w:val="hybridMultilevel"/>
    <w:lvl w:ilvl="0">
      <w:lvlJc w:val="left"/>
      <w:lvlText w:val="%1"/>
      <w:numFmt w:val="decimal"/>
      <w:start w:val="1"/>
    </w:lvl>
    <w:lvl w:ilvl="1">
      <w:lvlJc w:val="left"/>
      <w:lvlText w:val="(%2)"/>
      <w:numFmt w:val="lowerLetter"/>
      <w:start w:val="7"/>
    </w:lvl>
  </w:abstractNum>
  <w:abstractNum w:abstractNumId="14">
    <w:nsid w:val="38437FDB"/>
    <w:multiLevelType w:val="hybridMultilevel"/>
    <w:lvl w:ilvl="0">
      <w:lvlJc w:val="left"/>
      <w:lvlText w:val="%1."/>
      <w:numFmt w:val="decimal"/>
      <w:start w:val="10"/>
    </w:lvl>
    <w:lvl w:ilvl="1">
      <w:lvlJc w:val="left"/>
      <w:lvlText w:val="%2"/>
      <w:numFmt w:val="lowerLetter"/>
      <w:start w:val="1"/>
    </w:lvl>
  </w:abstractNum>
  <w:abstractNum w:abstractNumId="15">
    <w:nsid w:val="7644A45C"/>
    <w:multiLevelType w:val="hybridMultilevel"/>
    <w:lvl w:ilvl="0">
      <w:lvlJc w:val="left"/>
      <w:lvlText w:val="%1."/>
      <w:numFmt w:val="decimal"/>
      <w:start w:val="24"/>
    </w:lvl>
  </w:abstractNum>
  <w:abstractNum w:abstractNumId="16">
    <w:nsid w:val="32FFF902"/>
    <w:multiLevelType w:val="hybridMultilevel"/>
    <w:lvl w:ilvl="0">
      <w:lvlJc w:val="left"/>
      <w:lvlText w:val="%1."/>
      <w:numFmt w:val="decimal"/>
      <w:start w:val="1"/>
    </w:lvl>
  </w:abstractNum>
  <w:abstractNum w:abstractNumId="17">
    <w:nsid w:val="684A481A"/>
    <w:multiLevelType w:val="hybridMultilevel"/>
    <w:lvl w:ilvl="0">
      <w:lvlJc w:val="left"/>
      <w:lvlText w:val="%1."/>
      <w:numFmt w:val="decimal"/>
      <w:start w:val="11"/>
    </w:lvl>
  </w:abstractNum>
  <w:abstractNum w:abstractNumId="18">
    <w:nsid w:val="579478FE"/>
    <w:multiLevelType w:val="hybridMultilevel"/>
    <w:lvl w:ilvl="0">
      <w:lvlJc w:val="left"/>
      <w:lvlText w:val="(%1)"/>
      <w:numFmt w:val="lowerLetter"/>
      <w:start w:val="1"/>
    </w:lvl>
  </w:abstractNum>
  <w:abstractNum w:abstractNumId="19">
    <w:nsid w:val="749ABB43"/>
    <w:multiLevelType w:val="hybridMultilevel"/>
    <w:lvl w:ilvl="0">
      <w:lvlJc w:val="left"/>
      <w:lvlText w:val="(%1)"/>
      <w:numFmt w:val="lowerLetter"/>
      <w:start w:val="2"/>
    </w:lvl>
  </w:abstractNum>
  <w:abstractNum w:abstractNumId="20">
    <w:nsid w:val="3DC240FB"/>
    <w:multiLevelType w:val="hybridMultilevel"/>
    <w:lvl w:ilvl="0">
      <w:lvlJc w:val="left"/>
      <w:lvlText w:val="(%1)"/>
      <w:numFmt w:val="lowerLetter"/>
      <w:start w:val="1"/>
    </w:lvl>
  </w:abstractNum>
  <w:abstractNum w:abstractNumId="21">
    <w:nsid w:val="1BA026FA"/>
    <w:multiLevelType w:val="hybridMultilevel"/>
    <w:lvl w:ilvl="0">
      <w:lvlJc w:val="left"/>
      <w:lvlText w:val="(%1)"/>
      <w:numFmt w:val="lowerLetter"/>
      <w:start w:val="2"/>
    </w:lvl>
    <w:lvl w:ilvl="1">
      <w:lvlJc w:val="left"/>
      <w:lvlText w:val="(%2)"/>
      <w:numFmt w:val="lowerLetter"/>
      <w:start w:val="8"/>
    </w:lvl>
  </w:abstractNum>
  <w:abstractNum w:abstractNumId="22">
    <w:nsid w:val="79A1DEAA"/>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23">
    <w:nsid w:val="75C6C33A"/>
    <w:multiLevelType w:val="hybridMultilevel"/>
    <w:lvl w:ilvl="0">
      <w:lvlJc w:val="left"/>
      <w:lvlText w:val="%1."/>
      <w:numFmt w:val="decimal"/>
      <w:start w:val="1"/>
    </w:lvl>
  </w:abstractNum>
  <w:abstractNum w:abstractNumId="24">
    <w:nsid w:val="12E685FB"/>
    <w:multiLevelType w:val="hybridMultilevel"/>
    <w:lvl w:ilvl="0">
      <w:lvlJc w:val="left"/>
      <w:lvlText w:val="%1."/>
      <w:numFmt w:val="decimal"/>
      <w:start w:val="2"/>
    </w:lvl>
  </w:abstractNum>
  <w:abstractNum w:abstractNumId="25">
    <w:nsid w:val="70C6A529"/>
    <w:multiLevelType w:val="hybridMultilevel"/>
    <w:lvl w:ilvl="0">
      <w:lvlJc w:val="left"/>
      <w:lvlText w:val="%1."/>
      <w:numFmt w:val="decimal"/>
      <w:start w:val="3"/>
    </w:lvl>
  </w:abstractNum>
  <w:abstractNum w:abstractNumId="26">
    <w:nsid w:val="520EEDD1"/>
    <w:multiLevelType w:val="hybridMultilevel"/>
    <w:lvl w:ilvl="0">
      <w:lvlJc w:val="left"/>
      <w:lvlText w:val="(%1)"/>
      <w:numFmt w:val="lowerLetter"/>
      <w:start w:val="1"/>
    </w:lvl>
  </w:abstractNum>
  <w:abstractNum w:abstractNumId="27">
    <w:nsid w:val="374A3FE6"/>
    <w:multiLevelType w:val="hybridMultilevel"/>
    <w:lvl w:ilvl="0">
      <w:lvlJc w:val="left"/>
      <w:lvlText w:val="%1."/>
      <w:numFmt w:val="decimal"/>
      <w:start w:val="4"/>
    </w:lvl>
  </w:abstractNum>
  <w:abstractNum w:abstractNumId="28">
    <w:nsid w:val="4F4EF005"/>
    <w:multiLevelType w:val="hybridMultilevel"/>
    <w:lvl w:ilvl="0">
      <w:lvlJc w:val="left"/>
      <w:lvlText w:val="(%1)"/>
      <w:numFmt w:val="lowerLetter"/>
      <w:start w:val="1"/>
    </w:lvl>
  </w:abstractNum>
  <w:abstractNum w:abstractNumId="29">
    <w:nsid w:val="23F9C13C"/>
    <w:multiLevelType w:val="hybridMultilevel"/>
    <w:lvl w:ilvl="0">
      <w:lvlJc w:val="left"/>
      <w:lvlText w:val="(%1)"/>
      <w:numFmt w:val="upperLetter"/>
      <w:start w:val="1"/>
    </w:lvl>
  </w:abstractNum>
  <w:abstractNum w:abstractNumId="30">
    <w:nsid w:val="649BB77C"/>
    <w:multiLevelType w:val="hybridMultilevel"/>
    <w:lvl w:ilvl="0">
      <w:lvlJc w:val="left"/>
      <w:lvlText w:val="(%1)"/>
      <w:numFmt w:val="decimal"/>
      <w:start w:val="3"/>
    </w:lvl>
  </w:abstractNum>
  <w:abstractNum w:abstractNumId="31">
    <w:nsid w:val="275AC794"/>
    <w:multiLevelType w:val="hybridMultilevel"/>
    <w:lvl w:ilvl="0">
      <w:lvlJc w:val="left"/>
      <w:lvlText w:val="%1."/>
      <w:numFmt w:val="decimal"/>
      <w:start w:val="5"/>
    </w:lvl>
  </w:abstractNum>
  <w:abstractNum w:abstractNumId="32">
    <w:nsid w:val="39386575"/>
    <w:multiLevelType w:val="hybridMultilevel"/>
    <w:lvl w:ilvl="0">
      <w:lvlJc w:val="left"/>
      <w:lvlText w:val="(%1)"/>
      <w:numFmt w:val="lowerLetter"/>
      <w:start w:val="1"/>
    </w:lvl>
  </w:abstractNum>
  <w:abstractNum w:abstractNumId="33">
    <w:nsid w:val="1CF10FD8"/>
    <w:multiLevelType w:val="hybridMultilevel"/>
    <w:lvl w:ilvl="0">
      <w:lvlJc w:val="left"/>
      <w:lvlText w:val="(%1)"/>
      <w:numFmt w:val="lowerLetter"/>
      <w:start w:val="5"/>
    </w:lvl>
  </w:abstractNum>
  <w:abstractNum w:abstractNumId="34">
    <w:nsid w:val="180115BE"/>
    <w:multiLevelType w:val="hybridMultilevel"/>
    <w:lvl w:ilvl="0">
      <w:lvlJc w:val="left"/>
      <w:lvlText w:val="(%1)"/>
      <w:numFmt w:val="lowerLetter"/>
      <w:start w:val="1"/>
    </w:lvl>
  </w:abstractNum>
  <w:abstractNum w:abstractNumId="35">
    <w:nsid w:val="235BA861"/>
    <w:multiLevelType w:val="hybridMultilevel"/>
    <w:lvl w:ilvl="0">
      <w:lvlJc w:val="left"/>
      <w:lvlText w:val="%1."/>
      <w:numFmt w:val="decimal"/>
      <w:start w:val="6"/>
    </w:lvl>
  </w:abstractNum>
  <w:abstractNum w:abstractNumId="36">
    <w:nsid w:val="47398C89"/>
    <w:multiLevelType w:val="hybridMultilevel"/>
    <w:lvl w:ilvl="0">
      <w:lvlJc w:val="left"/>
      <w:lvlText w:val="(%1)"/>
      <w:numFmt w:val="lowerLetter"/>
      <w:start w:val="1"/>
    </w:lvl>
  </w:abstractNum>
  <w:abstractNum w:abstractNumId="37">
    <w:nsid w:val="354FE9F9"/>
    <w:multiLevelType w:val="hybridMultilevel"/>
    <w:lvl w:ilvl="0">
      <w:lvlJc w:val="left"/>
      <w:lvlText w:val="(%1)"/>
      <w:numFmt w:val="lowerLetter"/>
      <w:start w:val="10"/>
    </w:lvl>
  </w:abstractNum>
  <w:abstractNum w:abstractNumId="38">
    <w:nsid w:val="15B5AF5C"/>
    <w:multiLevelType w:val="hybridMultilevel"/>
    <w:lvl w:ilvl="0">
      <w:lvlJc w:val="left"/>
      <w:lvlText w:val="%1"/>
      <w:numFmt w:val="decimal"/>
      <w:start w:val="1"/>
    </w:lvl>
    <w:lvl w:ilvl="1">
      <w:lvlJc w:val="left"/>
      <w:lvlText w:val="(%2)"/>
      <w:numFmt w:val="lowerLetter"/>
      <w:start w:val="1"/>
    </w:lvl>
  </w:abstractNum>
  <w:abstractNum w:abstractNumId="39">
    <w:nsid w:val="741226BB"/>
    <w:multiLevelType w:val="hybridMultilevel"/>
    <w:lvl w:ilvl="0">
      <w:lvlJc w:val="left"/>
      <w:lvlText w:val="%1."/>
      <w:numFmt w:val="decimal"/>
      <w:start w:val="7"/>
    </w:lvl>
    <w:lvl w:ilvl="1">
      <w:lvlJc w:val="left"/>
      <w:lvlText w:val="%2"/>
      <w:numFmt w:val="lowerLetter"/>
      <w:start w:val="1"/>
    </w:lvl>
  </w:abstractNum>
  <w:abstractNum w:abstractNumId="40">
    <w:nsid w:val="D34B6A8"/>
    <w:multiLevelType w:val="hybridMultilevel"/>
    <w:lvl w:ilvl="0">
      <w:lvlJc w:val="left"/>
      <w:lvlText w:val="(%1)"/>
      <w:numFmt w:val="lowerRoman"/>
      <w:start w:val="1"/>
    </w:lvl>
  </w:abstractNum>
  <w:abstractNum w:abstractNumId="41">
    <w:nsid w:val="10233C99"/>
    <w:multiLevelType w:val="hybridMultilevel"/>
    <w:lvl w:ilvl="0">
      <w:lvlJc w:val="left"/>
      <w:lvlText w:val="%1."/>
      <w:numFmt w:val="decimal"/>
      <w:start w:val="8"/>
    </w:lvl>
  </w:abstractNum>
  <w:abstractNum w:abstractNumId="42">
    <w:nsid w:val="3F6AB60F"/>
    <w:multiLevelType w:val="hybridMultilevel"/>
    <w:lvl w:ilvl="0">
      <w:lvlJc w:val="left"/>
      <w:lvlText w:val="(%1)"/>
      <w:numFmt w:val="lowerLetter"/>
      <w:start w:val="2"/>
    </w:lvl>
  </w:abstractNum>
  <w:abstractNum w:abstractNumId="43">
    <w:nsid w:val="61574095"/>
    <w:multiLevelType w:val="hybridMultilevel"/>
    <w:lvl w:ilvl="0">
      <w:lvlJc w:val="left"/>
      <w:lvlText w:val="(%1)"/>
      <w:numFmt w:val="lowerLetter"/>
      <w:start w:val="1"/>
    </w:lvl>
  </w:abstractNum>
  <w:abstractNum w:abstractNumId="44">
    <w:nsid w:val="7E0C57B1"/>
    <w:multiLevelType w:val="hybridMultilevel"/>
    <w:lvl w:ilvl="0">
      <w:lvlJc w:val="left"/>
      <w:lvlText w:val="(%1)"/>
      <w:numFmt w:val="lowerRoman"/>
      <w:start w:val="1"/>
    </w:lvl>
  </w:abstractNum>
  <w:abstractNum w:abstractNumId="45">
    <w:nsid w:val="77AE35EB"/>
    <w:multiLevelType w:val="hybridMultilevel"/>
    <w:lvl w:ilvl="0">
      <w:lvlJc w:val="left"/>
      <w:lvlText w:val="(%1)"/>
      <w:numFmt w:val="lowerLetter"/>
      <w:start w:val="1"/>
    </w:lvl>
  </w:abstractNum>
  <w:abstractNum w:abstractNumId="46">
    <w:nsid w:val="579BE4F1"/>
    <w:multiLevelType w:val="hybridMultilevel"/>
    <w:lvl w:ilvl="0">
      <w:lvlJc w:val="left"/>
      <w:lvlText w:val="%1"/>
      <w:numFmt w:val="lowerLetter"/>
      <w:start w:val="1"/>
    </w:lvl>
    <w:lvl w:ilvl="1">
      <w:lvlJc w:val="left"/>
      <w:lvlText w:val="(%2)"/>
      <w:numFmt w:val="lowerLetter"/>
      <w:start w:val="1"/>
    </w:lvl>
  </w:abstractNum>
  <w:abstractNum w:abstractNumId="47">
    <w:nsid w:val="310C50B3"/>
    <w:multiLevelType w:val="hybridMultilevel"/>
    <w:lvl w:ilvl="0">
      <w:lvlJc w:val="left"/>
      <w:lvlText w:val="(%1)"/>
      <w:numFmt w:val="lowerLetter"/>
      <w:start w:val="35"/>
    </w:lvl>
    <w:lvl w:ilvl="1">
      <w:lvlJc w:val="left"/>
      <w:lvlText w:val="(%2)"/>
      <w:numFmt w:val="lowerLetter"/>
      <w:start w:val="2"/>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1."/>
      <w:numFmt w:val="upperLetter"/>
      <w:start w:val="1"/>
    </w:lvl>
  </w:abstractNum>
  <w:abstractNum w:abstractNumId="50">
    <w:nsid w:val="25A70BF7"/>
    <w:multiLevelType w:val="hybridMultilevel"/>
    <w:lvl w:ilvl="0">
      <w:lvlJc w:val="left"/>
      <w:lvlText w:val="%1."/>
      <w:numFmt w:val="decimal"/>
      <w:start w:val="1"/>
    </w:lvl>
  </w:abstractNum>
  <w:abstractNum w:abstractNumId="51">
    <w:nsid w:val="1DBABF00"/>
    <w:multiLevelType w:val="hybridMultilevel"/>
    <w:lvl w:ilvl="0">
      <w:lvlJc w:val="left"/>
      <w:lvlText w:val="(%1)"/>
      <w:numFmt w:val="lowerLetter"/>
      <w:start w:val="1"/>
    </w:lvl>
  </w:abstractNum>
  <w:abstractNum w:abstractNumId="52">
    <w:nsid w:val="4AD084E9"/>
    <w:multiLevelType w:val="hybridMultilevel"/>
    <w:lvl w:ilvl="0">
      <w:lvlJc w:val="left"/>
      <w:lvlText w:val="(%1)"/>
      <w:numFmt w:val="lowerLetter"/>
      <w:start w:val="11"/>
    </w:lvl>
  </w:abstractNum>
  <w:abstractNum w:abstractNumId="53">
    <w:nsid w:val="1F48EAA1"/>
    <w:multiLevelType w:val="hybridMultilevel"/>
    <w:lvl w:ilvl="0">
      <w:lvlJc w:val="left"/>
      <w:lvlText w:val="(%1)"/>
      <w:numFmt w:val="lowerLetter"/>
      <w:start w:val="23"/>
    </w:lvl>
  </w:abstractNum>
  <w:abstractNum w:abstractNumId="54">
    <w:nsid w:val="1381823A"/>
    <w:multiLevelType w:val="hybridMultilevel"/>
    <w:lvl w:ilvl="0">
      <w:lvlJc w:val="left"/>
      <w:lvlText w:val="%1"/>
      <w:numFmt w:val="decimal"/>
      <w:start w:val="1"/>
    </w:lvl>
    <w:lvl w:ilvl="1">
      <w:lvlJc w:val="left"/>
      <w:lvlText w:val="(%2)"/>
      <w:numFmt w:val="lowerLetter"/>
      <w:start w:val="27"/>
    </w:lvl>
  </w:abstractNum>
  <w:abstractNum w:abstractNumId="55">
    <w:nsid w:val="5DB70AE5"/>
    <w:multiLevelType w:val="hybridMultilevel"/>
    <w:lvl w:ilvl="0">
      <w:lvlJc w:val="left"/>
      <w:lvlText w:val="%1."/>
      <w:numFmt w:val="decimal"/>
      <w:start w:val="2"/>
    </w:lvl>
    <w:lvl w:ilvl="1">
      <w:lvlJc w:val="left"/>
      <w:lvlText w:val="(%2)"/>
      <w:numFmt w:val="lowerLetter"/>
      <w:start w:val="1"/>
    </w:lvl>
  </w:abstractNum>
  <w:abstractNum w:abstractNumId="56">
    <w:nsid w:val="100F8FCA"/>
    <w:multiLevelType w:val="hybridMultilevel"/>
    <w:lvl w:ilvl="0">
      <w:lvlJc w:val="left"/>
      <w:lvlText w:val="(%1)"/>
      <w:numFmt w:val="lowerLetter"/>
      <w:start w:val="3"/>
    </w:lvl>
  </w:abstractNum>
  <w:abstractNum w:abstractNumId="57">
    <w:nsid w:val="6590700B"/>
    <w:multiLevelType w:val="hybridMultilevel"/>
    <w:lvl w:ilvl="0">
      <w:lvlJc w:val="left"/>
      <w:lvlText w:val="%1."/>
      <w:numFmt w:val="decimal"/>
      <w:start w:val="3"/>
    </w:lvl>
  </w:abstractNum>
  <w:abstractNum w:abstractNumId="58">
    <w:nsid w:val="15014ACB"/>
    <w:multiLevelType w:val="hybridMultilevel"/>
    <w:lvl w:ilvl="0">
      <w:lvlJc w:val="left"/>
      <w:lvlText w:val="(%1)"/>
      <w:numFmt w:val="lowerLetter"/>
      <w:start w:val="1"/>
    </w:lvl>
  </w:abstractNum>
  <w:abstractNum w:abstractNumId="59">
    <w:nsid w:val="5F5E7FD0"/>
    <w:multiLevelType w:val="hybridMultilevel"/>
    <w:lvl w:ilvl="0">
      <w:lvlJc w:val="left"/>
      <w:lvlText w:val="%1"/>
      <w:numFmt w:val="lowerLetter"/>
      <w:start w:val="1"/>
    </w:lvl>
    <w:lvl w:ilvl="1">
      <w:lvlJc w:val="left"/>
      <w:lvlText w:val="(%2)"/>
      <w:numFmt w:val="lowerLetter"/>
      <w:start w:val="3"/>
    </w:lvl>
  </w:abstractNum>
  <w:abstractNum w:abstractNumId="60">
    <w:nsid w:val="98A3148"/>
    <w:multiLevelType w:val="hybridMultilevel"/>
    <w:lvl w:ilvl="0">
      <w:lvlJc w:val="left"/>
      <w:lvlText w:val="(%1)"/>
      <w:numFmt w:val="lowerLetter"/>
      <w:start w:val="9"/>
    </w:lvl>
    <w:lvl w:ilvl="1">
      <w:lvlJc w:val="left"/>
      <w:lvlText w:val="(%2)"/>
      <w:numFmt w:val="lowerLetter"/>
      <w:start w:val="6"/>
    </w:lvl>
  </w:abstractNum>
  <w:abstractNum w:abstractNumId="61">
    <w:nsid w:val="799D024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9"/>
    </w:lvl>
  </w:abstractNum>
  <w:abstractNum w:abstractNumId="62">
    <w:nsid w:val="6B94764"/>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1"/>
    </w:lvl>
  </w:abstractNum>
  <w:abstractNum w:abstractNumId="63">
    <w:nsid w:val="42C296BD"/>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64">
    <w:nsid w:val="168E121F"/>
    <w:multiLevelType w:val="hybridMultilevel"/>
    <w:lvl w:ilvl="0">
      <w:lvlJc w:val="left"/>
      <w:lvlText w:val="(%1)"/>
      <w:numFmt w:val="lowerLetter"/>
      <w:start w:val="2"/>
    </w:lvl>
  </w:abstractNum>
  <w:abstractNum w:abstractNumId="65">
    <w:nsid w:val="1EBA5D23"/>
    <w:multiLevelType w:val="hybridMultilevel"/>
    <w:lvl w:ilvl="0">
      <w:lvlJc w:val="left"/>
      <w:lvlText w:val="%1."/>
      <w:numFmt w:val="decimal"/>
      <w:start w:val="5"/>
    </w:lvl>
  </w:abstractNum>
  <w:abstractNum w:abstractNumId="66">
    <w:nsid w:val="661E3F1E"/>
    <w:multiLevelType w:val="hybridMultilevel"/>
    <w:lvl w:ilvl="0">
      <w:lvlJc w:val="left"/>
      <w:lvlText w:val="%1."/>
      <w:numFmt w:val="decimal"/>
      <w:start w:val="6"/>
    </w:lvl>
    <w:lvl w:ilvl="1">
      <w:lvlJc w:val="left"/>
      <w:lvlText w:val="(%2)"/>
      <w:numFmt w:val="lowerLetter"/>
      <w:start w:val="1"/>
    </w:lvl>
  </w:abstractNum>
  <w:abstractNum w:abstractNumId="67">
    <w:nsid w:val="5DC79EA8"/>
    <w:multiLevelType w:val="hybridMultilevel"/>
    <w:lvl w:ilvl="0">
      <w:lvlJc w:val="left"/>
      <w:lvlText w:val="(%1)"/>
      <w:numFmt w:val="lowerLetter"/>
      <w:start w:val="2"/>
    </w:lvl>
  </w:abstractNum>
  <w:abstractNum w:abstractNumId="68">
    <w:nsid w:val="540A471C"/>
    <w:multiLevelType w:val="hybridMultilevel"/>
    <w:lvl w:ilvl="0">
      <w:lvlJc w:val="left"/>
      <w:lvlText w:val="(%1)"/>
      <w:numFmt w:val="lowerLetter"/>
      <w:start w:val="4"/>
    </w:lvl>
  </w:abstractNum>
  <w:abstractNum w:abstractNumId="69">
    <w:nsid w:val="7BD3EE7B"/>
    <w:multiLevelType w:val="hybridMultilevel"/>
    <w:lvl w:ilvl="0">
      <w:lvlJc w:val="left"/>
      <w:lvlText w:val="%1."/>
      <w:numFmt w:val="decimal"/>
      <w:start w:val="7"/>
    </w:lvl>
  </w:abstractNum>
  <w:abstractNum w:abstractNumId="70">
    <w:nsid w:val="51D9C564"/>
    <w:multiLevelType w:val="hybridMultilevel"/>
    <w:lvl w:ilvl="0">
      <w:lvlJc w:val="left"/>
      <w:lvlText w:val="%1."/>
      <w:numFmt w:val="decimal"/>
      <w:start w:val="8"/>
    </w:lvl>
  </w:abstractNum>
  <w:abstractNum w:abstractNumId="71">
    <w:nsid w:val="613EFDC5"/>
    <w:multiLevelType w:val="hybridMultilevel"/>
    <w:lvl w:ilvl="0">
      <w:lvlJc w:val="left"/>
      <w:lvlText w:val="%1."/>
      <w:numFmt w:val="decimal"/>
      <w:start w:val="9"/>
    </w:lvl>
  </w:abstractNum>
  <w:abstractNum w:abstractNumId="72">
    <w:nsid w:val="BF72B14"/>
    <w:multiLevelType w:val="hybridMultilevel"/>
    <w:lvl w:ilvl="0">
      <w:lvlJc w:val="left"/>
      <w:lvlText w:val="%1."/>
      <w:numFmt w:val="decimal"/>
      <w:start w:val="10"/>
    </w:lvl>
    <w:lvl w:ilvl="1">
      <w:lvlJc w:val="left"/>
      <w:lvlText w:val="(%2)"/>
      <w:numFmt w:val="lowerLetter"/>
      <w:start w:val="1"/>
    </w:lvl>
  </w:abstractNum>
  <w:abstractNum w:abstractNumId="73">
    <w:nsid w:val="11447B73"/>
    <w:multiLevelType w:val="hybridMultilevel"/>
    <w:lvl w:ilvl="0">
      <w:lvlJc w:val="left"/>
      <w:lvlText w:val="%1."/>
      <w:numFmt w:val="lowerRoman"/>
      <w:start w:val="1"/>
    </w:lvl>
  </w:abstractNum>
  <w:abstractNum w:abstractNumId="74">
    <w:nsid w:val="42963E5A"/>
    <w:multiLevelType w:val="hybridMultilevel"/>
    <w:lvl w:ilvl="0">
      <w:lvlJc w:val="left"/>
      <w:lvlText w:val="%1."/>
      <w:numFmt w:val="lowerRoman"/>
      <w:start w:val="2"/>
    </w:lvl>
  </w:abstractNum>
  <w:abstractNum w:abstractNumId="75">
    <w:nsid w:val="A0382C5"/>
    <w:multiLevelType w:val="hybridMultilevel"/>
    <w:lvl w:ilvl="0">
      <w:lvlJc w:val="left"/>
      <w:lvlText w:val="(%1)"/>
      <w:numFmt w:val="lowerLetter"/>
      <w:start w:val="2"/>
    </w:lvl>
  </w:abstractNum>
  <w:abstractNum w:abstractNumId="76">
    <w:nsid w:val="8F2B15E"/>
    <w:multiLevelType w:val="hybridMultilevel"/>
    <w:lvl w:ilvl="0">
      <w:lvlJc w:val="left"/>
      <w:lvlText w:val="(%1)"/>
      <w:numFmt w:val="lowerLetter"/>
      <w:start w:val="7"/>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lowerLetter"/>
      <w:start w:val="2"/>
    </w:lvl>
  </w:abstractNum>
  <w:abstractNum w:abstractNumId="79">
    <w:nsid w:val="68EB2F6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2026-07-02T15:33:14Z</dcterms:created>
  <dcterms:modified xsi:type="dcterms:W3CDTF">2026-07-02T15:33:14Z</dcterms:modified>
</cp:coreProperties>
</file>