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Civik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PYXIS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11TH FL.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Pyxis Oncology, Inc.</w:t>
              </w:r>
            </w:hyperlink>
            <w:r>
              <w:rPr/>
              <w:t xml:space="preserve"> [ </w:t>
            </w:r>
            <w:r>
              <w:rPr>
                <w:rFonts w:ascii="Times;serif" w:hAnsi="Times;serif"/>
                <w:color w:val="0000FF"/>
                <w:sz w:val="24"/>
                <w:shd w:fill="FFFFFF" w:val="clear"/>
              </w:rPr>
              <w:t>PYXS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250,956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08/12/2026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250,956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941,087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performance-based portion of an option that was granted on February 3, 2026, which shares subject to this portion of the option were to become vested in full upon the completion of a successful financing transaction or a successful strategic transaction during the reporting person's continued service as Interim Chief Executive Officer or within six months thereafter. The performance conditions were deemed to have been met on August 12, 2026, as determined by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Jitendra Wadhane, Attorney-in-Fact for Thomas Civik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092" TargetMode="External"/><Relationship Id="rId5" Type="http://schemas.openxmlformats.org/officeDocument/2006/relationships/hyperlink" Target="http://www.sec.gov/cgi-bin/browse-edgar?action=getcompany&amp;CIK=0001782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3576</Characters>
  <CharactersWithSpaces>4160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