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3-424b2.htm"/>
      <w:bookmarkStart w:id="1" w:name="kss3424b2"/>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424(b)(2)</w:t>
      </w:r>
    </w:p>
    <w:p>
      <w:pPr>
        <w:pStyle w:val="TextBody"/>
        <w:bidi w:val="0"/>
        <w:jc w:val="right"/>
        <w:rPr>
          <w:rFonts w:ascii="Times New Roman" w:hAnsi="Times New Roman"/>
          <w:b/>
          <w:color w:val="000000"/>
          <w:sz w:val="20"/>
        </w:rPr>
      </w:pPr>
      <w:r>
        <w:rPr>
          <w:rFonts w:ascii="Times New Roman" w:hAnsi="Times New Roman"/>
          <w:b/>
          <w:color w:val="000000"/>
          <w:sz w:val="20"/>
        </w:rPr>
        <w:t>Registration Statement No. 333-298461</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PROSPECTUS</w:t>
      </w:r>
    </w:p>
    <w:p>
      <w:pPr>
        <w:pStyle w:val="TextBody"/>
        <w:bidi w:val="0"/>
        <w:jc w:val="center"/>
        <w:rPr/>
      </w:pPr>
      <w:r>
        <w:rPr/>
        <w:t> </w:t>
      </w:r>
    </w:p>
    <w:p>
      <w:pPr>
        <w:pStyle w:val="TextBody"/>
        <w:bidi w:val="0"/>
        <w:jc w:val="center"/>
        <w:rPr/>
      </w:pPr>
      <w:r>
        <w:rPr/>
        <w:drawing>
          <wp:inline distT="0" distB="0" distL="0" distR="0">
            <wp:extent cx="14382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69532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213" w:after="283"/>
        <w:jc w:val="center"/>
        <w:rPr>
          <w:rFonts w:ascii="Times New Roman" w:hAnsi="Times New Roman"/>
          <w:b/>
          <w:color w:val="000000"/>
          <w:sz w:val="24"/>
        </w:rPr>
      </w:pPr>
      <w:r>
        <w:rPr>
          <w:rFonts w:ascii="Times New Roman" w:hAnsi="Times New Roman"/>
          <w:b/>
          <w:color w:val="000000"/>
          <w:sz w:val="24"/>
        </w:rPr>
        <w:t>Up to 39,200,306 Shares of Common Stock Offered by the Selling Stockholders</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PYXIS ONCOLOGY, INC.</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relates to the resale, from time to time, by the selling stockholders named in this prospectus (the “selling stockholders”) of up to 39,200,306 shares of our common stock, which consist of (i) 19,600,153 shares of our common stock held by the selling stockholders (the “Initial Shares”), and (ii) 19,600,153 shares of our common stock (the “Common Warrant Shares”) issuable upon the exercise of warrants held by the selling stockholders (the “Common Warrants”). The Initial Shares and Common Warrant Shares shall be collectively referred to as the “Securities” or the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registration of shares of common stock covered by this prospectus does not mean that the selling stockholders will offer or sell any such shares. The selling stockholders received the Initial Shares and Common Warrants from us pursuant to a private placement transaction, which was consummated on July 2, 2026. We are registering the offer and resale of the Securities to satisfy a covenant set forth in the registration rights agreement executed on July 2, 2026 and a securities purchase agreement executed on June 30, 2026 with respect to the private placement, pursuant to which we agreed to register the resale of the Securities within a limited period of time following the date of the registration rights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will not receive any of the proceeds from the sale of our common stock by the selling stockholders, although we may receive up to approximately $64.0 million in gross proceeds, before deducting placement agent fees, if the Common Warrants are exercised in full for cash. The Common Warrants may also be exercised on a cashless basis, and to the extent that any Common Warrants are exercised on a cashless basis, we will not receive any proceeds from the exercise of such Common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shares of our common stock subject to resale hereunder will have been issued by us and received by the selling stockholders prior to any resale of such shares pursuant to this prospectus.</w:t>
      </w:r>
    </w:p>
    <w:p>
      <w:pPr>
        <w:pStyle w:val="TextBody"/>
        <w:bidi w:val="0"/>
        <w:jc w:val="both"/>
        <w:rPr/>
      </w:pPr>
      <w:r>
        <w:rPr/>
        <w:t> </w:t>
      </w:r>
    </w:p>
    <w:p>
      <w:pPr>
        <w:pStyle w:val="TextBody"/>
        <w:bidi w:val="0"/>
        <w:jc w:val="both"/>
        <w:rPr/>
      </w:pPr>
      <w:r>
        <w:rPr>
          <w:rFonts w:ascii="Times New Roman" w:hAnsi="Times New Roman"/>
          <w:color w:val="000000"/>
          <w:sz w:val="20"/>
        </w:rPr>
        <w:t>The selling stockholders, or their donees, pledgees, transferees or other successors-in-interest may offer or resell the Shares from time to time through public or private transactions at prevailing market prices, at prices related to prevailing market prices or at privately negotiated prices. The selling stockholders will bear all commissions and discounts and similar selling expenses, if any, attributable to the sale of Shares. We will bear all costs, expenses and fees (other than commissions and discounts and similar selling expenses) in connection with the registration of the Shares. For additional information on the methods of sale that may be used by the selling stockholders, see “</w:t>
      </w:r>
      <w:hyperlink w:anchor="plandistribution">
        <w:r>
          <w:rPr>
            <w:rStyle w:val="InternetLink"/>
            <w:rFonts w:ascii="Times New Roman" w:hAnsi="Times New Roman"/>
            <w:color w:val="0000FF"/>
            <w:sz w:val="20"/>
            <w:u w:val="single"/>
          </w:rPr>
          <w:t>Plan of Distribution</w:t>
        </w:r>
      </w:hyperlink>
      <w:r>
        <w:rPr>
          <w:rFonts w:ascii="Times New Roman" w:hAnsi="Times New Roman"/>
          <w:color w:val="000000"/>
          <w:sz w:val="20"/>
        </w:rPr>
        <w:t>” beginning on page 11 of this prospectus.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is listed on the Nasdaq Global Select Market under the symbol “PYXS.” On August 19, 2026, the last reported sale price of our common stock was $3.37.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 — Implications of Being an Emerging Growth Company and Smaller Reporting Company.”</w:t>
      </w:r>
    </w:p>
    <w:p>
      <w:pPr>
        <w:pStyle w:val="TextBody"/>
        <w:bidi w:val="0"/>
        <w:jc w:val="both"/>
        <w:rPr/>
      </w:pPr>
      <w:r>
        <w:rPr/>
        <w:t> </w:t>
      </w:r>
    </w:p>
    <w:p>
      <w:pPr>
        <w:pStyle w:val="TextBody"/>
        <w:bidi w:val="0"/>
        <w:jc w:val="both"/>
        <w:rPr/>
      </w:pPr>
      <w:r>
        <w:rPr>
          <w:rFonts w:ascii="Times New Roman" w:hAnsi="Times New Roman"/>
          <w:b/>
          <w:color w:val="000000"/>
          <w:sz w:val="20"/>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riskfactors2">
        <w:r>
          <w:rPr>
            <w:rStyle w:val="InternetLink"/>
            <w:rFonts w:ascii="Times New Roman" w:hAnsi="Times New Roman"/>
            <w:b/>
            <w:color w:val="0000FF"/>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on page 5 of this prospectus</w:t>
      </w:r>
      <w:r>
        <w:rPr>
          <w:rFonts w:ascii="Times New Roman" w:hAnsi="Times New Roman"/>
          <w:b/>
          <w:i/>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date of this prospectus is August 28, 2026</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75" w:type="dxa"/>
        <w:jc w:val="left"/>
        <w:tblInd w:w="0" w:type="dxa"/>
        <w:tblLayout w:type="fixed"/>
        <w:tblCellMar>
          <w:top w:w="28" w:type="dxa"/>
          <w:left w:w="28" w:type="dxa"/>
          <w:bottom w:w="28" w:type="dxa"/>
          <w:right w:w="28" w:type="dxa"/>
        </w:tblCellMar>
      </w:tblPr>
      <w:tblGrid>
        <w:gridCol w:w="4281"/>
        <w:gridCol w:w="394"/>
      </w:tblGrid>
      <w:tr>
        <w:trPr/>
        <w:tc>
          <w:tcPr>
            <w:tcW w:w="42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ind w:left="0" w:right="0" w:firstLine="263"/>
              <w:jc w:val="left"/>
              <w:rPr>
                <w:sz w:val="4"/>
                <w:szCs w:val="4"/>
              </w:rPr>
            </w:pPr>
            <w:r>
              <w:rPr>
                <w:sz w:val="4"/>
                <w:szCs w:val="4"/>
              </w:rPr>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263"/>
              <w:jc w:val="center"/>
              <w:rPr>
                <w:rFonts w:ascii="Times New Roman" w:hAnsi="Times New Roman"/>
                <w:b/>
                <w:color w:val="000000"/>
                <w:sz w:val="18"/>
              </w:rPr>
            </w:pPr>
            <w:r>
              <w:rPr>
                <w:rFonts w:ascii="Times New Roman" w:hAnsi="Times New Roman"/>
                <w:b/>
                <w:color w:val="000000"/>
                <w:sz w:val="18"/>
              </w:rPr>
              <w:t>TABLE OF CONTENTS</w:t>
            </w:r>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281" w:type="dxa"/>
            <w:tcBorders/>
            <w:tcMar>
              <w:top w:w="0" w:type="dxa"/>
              <w:left w:w="0" w:type="dxa"/>
              <w:bottom w:w="0" w:type="dxa"/>
              <w:right w:w="0" w:type="dxa"/>
            </w:tcMar>
            <w:vAlign w:val="center"/>
          </w:tcPr>
          <w:p>
            <w:pPr>
              <w:pStyle w:val="TableContents"/>
              <w:bidi w:val="0"/>
              <w:spacing w:before="121" w:after="283"/>
              <w:ind w:left="0" w:right="0" w:firstLine="50"/>
              <w:jc w:val="left"/>
              <w:rPr/>
            </w:pPr>
            <w:hyperlink w:anchor="prospectus">
              <w:r>
                <w:rPr>
                  <w:rStyle w:val="InternetLink"/>
                  <w:rFonts w:ascii="Times New Roman" w:hAnsi="Times New Roman"/>
                  <w:color w:val="0000FF"/>
                  <w:sz w:val="18"/>
                  <w:u w:val="single"/>
                </w:rPr>
                <w:t>ABOUT THIS PROSPECTUS</w:t>
              </w:r>
            </w:hyperlink>
          </w:p>
        </w:tc>
        <w:tc>
          <w:tcPr>
            <w:tcW w:w="394" w:type="dxa"/>
            <w:tcBorders/>
            <w:tcMar>
              <w:top w:w="0" w:type="dxa"/>
              <w:left w:w="0" w:type="dxa"/>
              <w:bottom w:w="0" w:type="dxa"/>
              <w:right w:w="0" w:type="dxa"/>
            </w:tcMar>
            <w:vAlign w:val="center"/>
          </w:tcPr>
          <w:p>
            <w:pPr>
              <w:pStyle w:val="TableContents"/>
              <w:bidi w:val="0"/>
              <w:spacing w:before="121" w:after="283"/>
              <w:ind w:left="0" w:right="0" w:firstLine="50"/>
              <w:jc w:val="right"/>
              <w:rPr>
                <w:rFonts w:ascii="Times New Roman" w:hAnsi="Times New Roman"/>
                <w:color w:val="000000"/>
                <w:sz w:val="18"/>
              </w:rPr>
            </w:pPr>
            <w:r>
              <w:rPr>
                <w:rFonts w:ascii="Times New Roman" w:hAnsi="Times New Roman"/>
                <w:color w:val="000000"/>
                <w:sz w:val="18"/>
              </w:rPr>
              <w:t>1</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summary">
              <w:r>
                <w:rPr>
                  <w:rStyle w:val="InternetLink"/>
                  <w:rFonts w:ascii="Times New Roman" w:hAnsi="Times New Roman"/>
                  <w:color w:val="0000FF"/>
                  <w:sz w:val="18"/>
                  <w:u w:val="single"/>
                </w:rPr>
                <w:t>SUMMARY</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2</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riskfactors">
              <w:r>
                <w:rPr>
                  <w:rStyle w:val="InternetLink"/>
                  <w:rFonts w:ascii="Times New Roman" w:hAnsi="Times New Roman"/>
                  <w:color w:val="0000FF"/>
                  <w:sz w:val="18"/>
                  <w:u w:val="single"/>
                </w:rPr>
                <w:t>RISK FACTORS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5</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fls">
              <w:r>
                <w:rPr>
                  <w:rStyle w:val="InternetLink"/>
                  <w:rFonts w:ascii="Times New Roman" w:hAnsi="Times New Roman"/>
                  <w:color w:val="0000FF"/>
                  <w:sz w:val="18"/>
                  <w:u w:val="single"/>
                </w:rPr>
                <w:t>FORWARD-LOOKING STATEMENTS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6</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useofproceeds">
              <w:r>
                <w:rPr>
                  <w:rStyle w:val="InternetLink"/>
                  <w:rFonts w:ascii="Times New Roman" w:hAnsi="Times New Roman"/>
                  <w:color w:val="0000FF"/>
                  <w:sz w:val="18"/>
                  <w:u w:val="single"/>
                </w:rPr>
                <w:t>USE OF PROCEEDS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7</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sellingstakeholders">
              <w:r>
                <w:rPr>
                  <w:rStyle w:val="InternetLink"/>
                  <w:rFonts w:ascii="Times New Roman" w:hAnsi="Times New Roman"/>
                  <w:color w:val="0000FF"/>
                  <w:sz w:val="18"/>
                  <w:u w:val="single"/>
                </w:rPr>
                <w:t>SELLING STOCKHOLDERS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8</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plandistribution">
              <w:r>
                <w:rPr>
                  <w:rStyle w:val="InternetLink"/>
                  <w:rFonts w:ascii="Times New Roman" w:hAnsi="Times New Roman"/>
                  <w:color w:val="0000FF"/>
                  <w:sz w:val="18"/>
                  <w:u w:val="single"/>
                </w:rPr>
                <w:t>PLAN OF DISTRIBUTION</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11</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legalmatters">
              <w:r>
                <w:rPr>
                  <w:rStyle w:val="InternetLink"/>
                  <w:rFonts w:ascii="Times New Roman" w:hAnsi="Times New Roman"/>
                  <w:color w:val="0000FF"/>
                  <w:sz w:val="18"/>
                  <w:u w:val="single"/>
                </w:rPr>
                <w:t>LEGAL MATTERS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13</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expert">
              <w:r>
                <w:rPr>
                  <w:rStyle w:val="InternetLink"/>
                  <w:rFonts w:ascii="Times New Roman" w:hAnsi="Times New Roman"/>
                  <w:color w:val="0000FF"/>
                  <w:sz w:val="18"/>
                  <w:u w:val="single"/>
                </w:rPr>
                <w:t>EXPERTS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14</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findmoreinformation">
              <w:r>
                <w:rPr>
                  <w:rStyle w:val="InternetLink"/>
                  <w:rFonts w:ascii="Times New Roman" w:hAnsi="Times New Roman"/>
                  <w:color w:val="0000FF"/>
                  <w:sz w:val="18"/>
                  <w:u w:val="single"/>
                </w:rPr>
                <w:t>WHERE YOU CAN FIND MORE INFORMATION</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15</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informationcorporate">
              <w:r>
                <w:rPr>
                  <w:rStyle w:val="InternetLink"/>
                  <w:rFonts w:ascii="Times New Roman" w:hAnsi="Times New Roman"/>
                  <w:color w:val="0000FF"/>
                  <w:sz w:val="18"/>
                  <w:u w:val="single"/>
                </w:rPr>
                <w:t>INFORMATION INCORPORATED BY REFERENCE</w:t>
              </w:r>
            </w:hyperlink>
          </w:p>
        </w:tc>
        <w:tc>
          <w:tcPr>
            <w:tcW w:w="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 w:name="prospectus"/>
      <w:bookmarkEnd w:id="2"/>
      <w:r>
        <w:rPr>
          <w:rFonts w:ascii="Times New Roman" w:hAnsi="Times New Roman"/>
          <w:b/>
          <w:color w:val="000000"/>
          <w:sz w:val="18"/>
        </w:rPr>
        <w:t>ABOUT THIS PROSPECTUS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This prospectus is part of a registration statement on Form S-3 that we filed with the Securities and Exchange Commission (the “SEC”), using a “shelf” registration process. The selling stockholders may resell, from time to time, in one or more offerings, shares of our common stock offered by this prospectus. Information about the selling stockholders may change over time. When the selling stockholders sell shares of our common stock under this prospectus, we will, if necessary and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You should carefully read this prospectus and the accompanying prospectus supplement, if any, along with all of the information incorporated by reference herein and therein, before making an investment decision.</w:t>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You should rely only on the information contained or incorporated by reference in this prospectus and any applicable prospectus supplement. We have not, and the selling stockholders have not, authorized any other person to provide you with different or additional information. If anyone provides you with different or additional information, you should not rely on it. This prospectus is not an offer to sell, nor are the selling stockholders seeking an offer to buy, the shares offered by this prospectus in any jurisdiction where the offer and sale is not permitted. No offers or sales of any of the shares of our common stock are to be made in any jurisdiction in which such an offer or sale is not permitted. You should assume that the information contained in this prospectus or any applicable prospectus supplement is accurate only as of the date on the front cover thereof or the date of the document incorporated by reference, regardless of the time of delivery of this prospectus or any applicable prospectus supplement or any sales of the shares of our common stock offered hereby or thereby.</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as applicable, is correct as of any time subsequent to its date. You should assume that the information appearing in this prospectus, any prospectus supplement or any document incorporated by reference herein or therein is accurate only as of the date of the applicable documents, regardless of the time of delivery of this prospectus or any sale of securities. Our business, financial condition, results of operations and prospects may have changed since that date.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terms “Pyxis Oncology,” the “Company,” “our,” “us” and “we,” as used in this prospectus, refer to Pyxis Oncology, Inc., a Delaware corporation, and its subsidiaries unless we state otherwise or the context indicates otherwise.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 w:after="283"/>
        <w:jc w:val="center"/>
        <w:rPr>
          <w:rFonts w:ascii="Times New Roman" w:hAnsi="Times New Roman"/>
          <w:b/>
          <w:color w:val="000000"/>
          <w:sz w:val="18"/>
        </w:rPr>
      </w:pPr>
      <w:bookmarkStart w:id="3" w:name="summary"/>
      <w:bookmarkEnd w:id="3"/>
      <w:r>
        <w:rPr>
          <w:rFonts w:ascii="Times New Roman" w:hAnsi="Times New Roman"/>
          <w:b/>
          <w:color w:val="000000"/>
          <w:sz w:val="18"/>
        </w:rPr>
        <w:t>SUMMARY</w:t>
      </w:r>
    </w:p>
    <w:p>
      <w:pPr>
        <w:pStyle w:val="TextBody"/>
        <w:bidi w:val="0"/>
        <w:jc w:val="center"/>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This summary highlights selected information from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Company 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Pyxis Oncology, Inc. is a clinical stage oncology company executing on a development strategy designed to address unmet medical needs in patients with solid tumors with an immediate focus on head and neck squamous cell carcinoma (HNSCC) tumors.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Company’s lead product candidate, micvotabart pelidotin (MICVO, formerly PYX-201), is an investigational novel antibody-drug conjugate (ADC) that uniquely targets the splice variant of fibronectin, extradomain-B of fibronectin (EDB+FN), a non-cellular structural component of the extracellular matrix (ECM) in the tumor microenvironment (TME). EDB+FN is an isoform of fibronectin present in tumors that is negligibly expressed in normal adult tissues and facilitates cancer progression by playing multiple roles including promoting cell proliferation, adhesion, and migration, activating the integrin signaling pathway, stimulating angiogenesis and vascular remodeling, driving epithelial-mesenchymal transition (EMT), and establishing the pre-metastatic niche. The physiological expression of EDB+FN is very low in healthy adult tissues, yet it is found to be highly expressed in a variety of solid tumors.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MICVO consists of a fully human IgG1 monoclonal antibody that is site-specifically conjugated to a cleavable linker with an optimized auristatin (Aur0101) microtubule inhibitor payload. MICVO is designed to bind to EDB+FN in the tumor ECM, where extracellular proteases under acidic conditions cleave the linker to release the Aur0101 payload. The payload diffuses through the membrane of cancer cells to kill them directly, which is the first component of MICVO’s three-pronged mechanism of action (MOA). The dying cancer cells release the payload which diffuses into nearby cancer cells and kills them via the bystander effect, representing the second component of MICVO’s MOA. The dying cancer cells also release neoantigens which trigger immunogenic cell death (ICD), the final component of its MOA. Together with its purpose-built design and postulated three-pronged MOA, MICVO has the potential for improved stability and anti-tumor activity compared to conventional ADCs.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MICVO is currently being studied as monotherapy in recurrent and metastatic head and neck squamous cell carcinoma (R/M HNSCC) and in combination with KEYTRUDA® (pembrolizumab) in 1L/2L+ R/M HNSCC and other solid tumors.</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Private Placement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On June 30, 2026, we entered into a securities purchase agreement (the “Securities Purchase Agreement”) for a private placement (the “Private Placement”) with certain institutional accredited investors (each, a “Purchaser” and collectively, the “Purchasers”).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Pursuant to the Securities Purchase Agreement, we agreed to issue and sell to the Purchasers an aggregate of (i) 19,600,153 shares of our common stock, par value $0.001 per share (the “Common Stock”), at a purchase price of $2.551 per share, and (ii) common warrants (the “Common Warrants”) to purchase up to an equal number of shares of our Common Stock (the “Common Warrant Shares”) at an exercise price of $3.289 per share. The Common Warrants will be exercisable on or after the earlier of (i) the date on which we first publicly disclose clinical data from our MICVO Phase 1 monotherapy study in second line and beyond Recurrent / Metastatic Head and Neck Squamous Cell Carcinoma, or (ii) October 1, 2026, and the Common Warrants will expire on July 2, 2029.</w:t>
      </w:r>
    </w:p>
    <w:p>
      <w:pPr>
        <w:pStyle w:val="TextBody"/>
        <w:bidi w:val="0"/>
        <w:spacing w:before="120" w:after="283"/>
        <w:jc w:val="both"/>
        <w:rPr>
          <w:rFonts w:ascii="Times New Roman" w:hAnsi="Times New Roman"/>
          <w:sz w:val="20"/>
        </w:rPr>
      </w:pPr>
      <w:r>
        <w:rPr>
          <w:rFonts w:ascii="Times New Roman" w:hAnsi="Times New Roman"/>
          <w:color w:val="000000"/>
          <w:sz w:val="18"/>
        </w:rPr>
        <w:t>The Private Placement closed on July 2, 2026. We received gross proceeds from the Private Placement of approximately $50 million, before deducting placement agent fees and offering expenses and may receive an additional approximately $64.0 million of gross proceeds, before deducting placement agent fees, if the accompanying Common Warrants are exercised in full for cash. The Common Warrants may also, in whole or in part at the election of the holder, be exercised on a cashless basis. To the extent that any Common Warrants are exercised on a cashless basis, we will not receive any proceeds from the exercise of such Common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 connection with the Securities Purchase Agreement, we entered into a registration rights agreement (the “Registration Rights Agreement”) on July 2, 2026. Pursuant to the Registration Rights Agreement and subject to customary conditions, the Purchasers have certain registration rights. The registration statement of which this prospectus is a part relates to the offer and resale of the Initial Shares and the Common Warrant Shares underlying the Common Warrants issued to the selling stockholders pursuant to the Securities Purchase Agreement to fulfill our contractual obligations under the Registration Rights Agreement.</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Implications of Being an Emerging Growth Company and Smaller Reporting Company</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We will cease to be an emerging growth company upon the earliest of (1) the end of the fiscal year following the fifth anniversary of our initial public offering; (2) the last day of the fiscal year during which our annual gross revenues are $1.235 billion or more; (3) the date on which we have, during the previous three-year period, issued more than $1.0 billion in non-convertible debt securities; and (4) the end of any fiscal year in which the market value of our common stock held by non-affiliates exceeded $700.0 million as of the end of the second quarter of that fiscal year.</w:t>
      </w:r>
    </w:p>
    <w:p>
      <w:pPr>
        <w:pStyle w:val="TextBody"/>
        <w:bidi w:val="0"/>
        <w:jc w:val="both"/>
        <w:rPr>
          <w:rFonts w:ascii="Times New Roman" w:hAnsi="Times New Roman"/>
          <w:color w:val="000000"/>
          <w:sz w:val="18"/>
        </w:rPr>
      </w:pPr>
      <w:r>
        <w:rPr>
          <w:rFonts w:ascii="Times New Roman" w:hAnsi="Times New Roman"/>
          <w:color w:val="000000"/>
          <w:sz w:val="18"/>
        </w:rPr>
        <w:t>Additionally, we are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Smaller reporting companies may take advantage of certain reduced disclosure obligations, including, among other things, providing only two years of audited financial statements in our Annual Report on Form 10-K, and, similar to emerging growth companies, smaller reporting companies have reduced disclosure obligations regarding executive compensation. We will remain a smaller reporting company until the last day of the fiscal year in which (i) the market value of our common stocks held by non-affiliates exceeds $250 million as of the end of that year’s second fiscal quarter and our annual revenue exceeds $100 million during such completed fiscal year, or (ii) the market value of our common stock held by non-affiliates exceeds $700 million, regardless of our annual revenue, as of the end of that year’s second fiscal quarter. To the extent we take advantage of such reduced disclosure obligations, it may also make comparison of our consolidated financial statements with other public companies difficult or impossible.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Corporate Information</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were incorporated in the state of Delaware on June 11, 2018 and launched with our first employee and Series A funding in July 2019. Our principal executive offices are located at 321 Harrison Avenue, Boston, Massachusetts 02118, and our telephone number is (617) 453-3596. Our website address is www.pyxisoncology.com.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The Offering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2"/>
        <w:gridCol w:w="8673"/>
      </w:tblGrid>
      <w:tr>
        <w:trPr/>
        <w:tc>
          <w:tcPr>
            <w:tcW w:w="1532" w:type="dxa"/>
            <w:tcBorders/>
            <w:vAlign w:val="center"/>
          </w:tcPr>
          <w:p>
            <w:pPr>
              <w:pStyle w:val="TableContents"/>
              <w:bidi w:val="0"/>
              <w:spacing w:before="0" w:after="283"/>
              <w:jc w:val="left"/>
              <w:rPr>
                <w:sz w:val="4"/>
                <w:szCs w:val="4"/>
              </w:rPr>
            </w:pPr>
            <w:r>
              <w:rPr>
                <w:sz w:val="4"/>
                <w:szCs w:val="4"/>
              </w:rPr>
            </w:r>
          </w:p>
        </w:tc>
        <w:tc>
          <w:tcPr>
            <w:tcW w:w="8673" w:type="dxa"/>
            <w:tcBorders/>
            <w:vAlign w:val="center"/>
          </w:tcPr>
          <w:p>
            <w:pPr>
              <w:pStyle w:val="TableContents"/>
              <w:bidi w:val="0"/>
              <w:spacing w:before="0" w:after="283"/>
              <w:ind w:left="0" w:right="0" w:firstLine="576"/>
              <w:jc w:val="left"/>
              <w:rPr>
                <w:sz w:val="4"/>
                <w:szCs w:val="4"/>
              </w:rPr>
            </w:pPr>
            <w:r>
              <w:rPr>
                <w:sz w:val="4"/>
                <w:szCs w:val="4"/>
              </w:rPr>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Common stock offered by us</w:t>
            </w:r>
          </w:p>
        </w:tc>
        <w:tc>
          <w:tcPr>
            <w:tcW w:w="8673" w:type="dxa"/>
            <w:tcBorders/>
            <w:tcMar>
              <w:top w:w="0" w:type="dxa"/>
              <w:left w:w="0" w:type="dxa"/>
              <w:bottom w:w="0" w:type="dxa"/>
              <w:right w:w="0" w:type="dxa"/>
            </w:tcMar>
            <w:vAlign w:val="center"/>
          </w:tcPr>
          <w:p>
            <w:pPr>
              <w:pStyle w:val="TableContents"/>
              <w:bidi w:val="0"/>
              <w:ind w:left="0" w:right="0" w:firstLine="158"/>
              <w:jc w:val="left"/>
              <w:rPr>
                <w:rFonts w:ascii="Times New Roman" w:hAnsi="Times New Roman"/>
                <w:color w:val="000000"/>
                <w:sz w:val="18"/>
              </w:rPr>
            </w:pPr>
            <w:r>
              <w:rPr>
                <w:rFonts w:ascii="Times New Roman" w:hAnsi="Times New Roman"/>
                <w:color w:val="000000"/>
                <w:sz w:val="18"/>
              </w:rPr>
              <w:t>None.</w:t>
            </w:r>
          </w:p>
          <w:p>
            <w:pPr>
              <w:pStyle w:val="TableContents"/>
              <w:bidi w:val="0"/>
              <w:spacing w:before="0" w:after="283"/>
              <w:ind w:left="0" w:right="0" w:firstLine="576"/>
              <w:jc w:val="left"/>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Common stock offered by the selling stockholders</w:t>
            </w:r>
          </w:p>
        </w:tc>
        <w:tc>
          <w:tcPr>
            <w:tcW w:w="8673"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Up to 39,200,306 shares of our common stock, par value $0.001 per share, which consist of (i) 19,600,153 shares of our common stock held by the selling stockholders and (ii) 19,600,153 shares of our common stock issuable upon the exercise of the Common Warrants held by the selling stockholders.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Common stock currently outstanding</w:t>
            </w:r>
          </w:p>
        </w:tc>
        <w:tc>
          <w:tcPr>
            <w:tcW w:w="8673"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83,408,050 (as of August 19, 2026).</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The Common Warrants</w:t>
            </w:r>
          </w:p>
        </w:tc>
        <w:tc>
          <w:tcPr>
            <w:tcW w:w="8673"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 xml:space="preserve">The Common Warrants will be exercisable on or after the earlier of (i) the date on which we first publicly disclose clinical data from our MICVO Phase 1 monotherapy study in second line and beyond Recurrent / Metastatic Head and Neck Squamous Cell Carcinoma, or (ii) October 1, 2026, and the Common Warrants will expire on July 2, 2029. </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Selling stockholders</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All of the shares of our common stock are being offered by the selling stockholders. See “</w:t>
            </w:r>
            <w:hyperlink w:anchor="sellingstakeholders">
              <w:r>
                <w:rPr>
                  <w:rStyle w:val="InternetLink"/>
                  <w:rFonts w:ascii="Times New Roman" w:hAnsi="Times New Roman"/>
                  <w:color w:val="0000FF"/>
                  <w:sz w:val="18"/>
                  <w:u w:val="single"/>
                </w:rPr>
                <w:t>Selling Stockholders</w:t>
              </w:r>
            </w:hyperlink>
            <w:r>
              <w:rPr>
                <w:rFonts w:ascii="Times New Roman" w:hAnsi="Times New Roman"/>
                <w:color w:val="000000"/>
                <w:sz w:val="18"/>
              </w:rPr>
              <w:t>” beginning on page 8 for additional information on the selling stockholders.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Use of Proceeds</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We will not receive any proceeds from the sale of the shares in this offering by the selling stockholders, although we may receive an additional approximately $64.0 million of gross proceeds, before deducting placement agent fees, if the accompanying Common Warrants are exercised in full for cash. If any Common Warrants are exercised on a cashless basis, we will not receive any proceeds from the exercise of such Common Warrants. See “</w:t>
            </w:r>
            <w:hyperlink w:anchor="useofproceeds">
              <w:r>
                <w:rPr>
                  <w:rStyle w:val="InternetLink"/>
                  <w:rFonts w:ascii="Times New Roman" w:hAnsi="Times New Roman"/>
                  <w:color w:val="0000FF"/>
                  <w:sz w:val="18"/>
                  <w:u w:val="single"/>
                </w:rPr>
                <w:t>Use of Proceeds</w:t>
              </w:r>
            </w:hyperlink>
            <w:r>
              <w:rPr>
                <w:rFonts w:ascii="Times New Roman" w:hAnsi="Times New Roman"/>
                <w:color w:val="000000"/>
                <w:sz w:val="18"/>
              </w:rPr>
              <w:t>” beginning on page 7 for additional information on the use of proceeds.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Plan of Distribution</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The selling stockholders, or their pledgees, donees, transferees, distributees, beneficiaries or other successors-in-interest, may offer or sell the shares of our common stock offered under this prospectus from time to time through public or private transactions at prevailing market prices, at prices related to prevailing market prices or at privately negotiated prices. The selling stockholders may also resell the shares of our common stock offered under this prospectus to or through underwriters, broker-dealers or agents, who may receive compensation in the form of discounts, concessions or commissions. See “</w:t>
            </w:r>
            <w:hyperlink w:anchor="plandistribution">
              <w:r>
                <w:rPr>
                  <w:rStyle w:val="InternetLink"/>
                  <w:rFonts w:ascii="Times New Roman" w:hAnsi="Times New Roman"/>
                  <w:color w:val="0000FF"/>
                  <w:sz w:val="18"/>
                  <w:u w:val="single"/>
                </w:rPr>
                <w:t>Plan of Distribution</w:t>
              </w:r>
            </w:hyperlink>
            <w:r>
              <w:rPr>
                <w:rFonts w:ascii="Times New Roman" w:hAnsi="Times New Roman"/>
                <w:color w:val="000000"/>
                <w:sz w:val="18"/>
              </w:rPr>
              <w:t>” beginning on page 11 for additional information on the methods of sale that may be used by the selling stockholders.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Risk Factors</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Investing in our securities involves risk. You should carefully read and consider the information beginning on page 5 of this prospectus set forth under the heading “</w:t>
            </w:r>
            <w:hyperlink w:anchor="riskfactors2">
              <w:r>
                <w:rPr>
                  <w:rStyle w:val="InternetLink"/>
                  <w:rFonts w:ascii="Times New Roman" w:hAnsi="Times New Roman"/>
                  <w:color w:val="0000FF"/>
                  <w:sz w:val="18"/>
                  <w:u w:val="single"/>
                </w:rPr>
                <w:t>Risk Factors</w:t>
              </w:r>
            </w:hyperlink>
            <w:r>
              <w:rPr>
                <w:rFonts w:ascii="Times New Roman" w:hAnsi="Times New Roman"/>
                <w:color w:val="000000"/>
                <w:sz w:val="18"/>
              </w:rPr>
              <w:t>” and all other information set forth in this prospectus and the documents incorporated herein and therein by reference before deciding to invest in our common stock.</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Nasdaq symbol for common stock</w:t>
            </w:r>
          </w:p>
        </w:tc>
        <w:tc>
          <w:tcPr>
            <w:tcW w:w="8673" w:type="dxa"/>
            <w:tcBorders/>
            <w:tcMar>
              <w:top w:w="0" w:type="dxa"/>
              <w:left w:w="0" w:type="dxa"/>
              <w:bottom w:w="0" w:type="dxa"/>
              <w:right w:w="0" w:type="dxa"/>
            </w:tcMar>
            <w:vAlign w:val="center"/>
          </w:tcPr>
          <w:p>
            <w:pPr>
              <w:pStyle w:val="TableContents"/>
              <w:bidi w:val="0"/>
              <w:ind w:left="0" w:right="0" w:firstLine="158"/>
              <w:jc w:val="both"/>
              <w:rPr>
                <w:color w:val="000000"/>
              </w:rPr>
            </w:pPr>
            <w:r>
              <w:rPr>
                <w:color w:val="000000"/>
              </w:rPr>
              <w:t>“</w:t>
            </w:r>
            <w:r>
              <w:rPr>
                <w:rFonts w:ascii="Times New Roman" w:hAnsi="Times New Roman"/>
                <w:color w:val="000000"/>
                <w:sz w:val="18"/>
              </w:rPr>
              <w:t>PYXS”</w:t>
            </w:r>
          </w:p>
          <w:p>
            <w:pPr>
              <w:pStyle w:val="TableContents"/>
              <w:bidi w:val="0"/>
              <w:spacing w:before="0" w:after="283"/>
              <w:ind w:left="0" w:right="0" w:firstLine="158"/>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 w:name="riskfactors2"/>
      <w:bookmarkStart w:id="5" w:name="riskfactors"/>
      <w:bookmarkEnd w:id="4"/>
      <w:bookmarkEnd w:id="5"/>
      <w:r>
        <w:rPr>
          <w:rFonts w:ascii="Times New Roman" w:hAnsi="Times New Roman"/>
          <w:b/>
          <w:color w:val="000000"/>
          <w:sz w:val="18"/>
        </w:rPr>
        <w:t>RISK FACTORS</w:t>
      </w:r>
    </w:p>
    <w:p>
      <w:pPr>
        <w:pStyle w:val="TextBody"/>
        <w:bidi w:val="0"/>
        <w:jc w:val="left"/>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Investing in our securities involves risk. You should carefully consider the specific risks discussed below, together with all the other information contained in this prospectus or incorporated by reference into this prospectus. You should also consider the risks, uncertainties and assumptions discussed under the caption “Risk Factors” included in our Annual Report on Form 10-K for the year ended December 31, 2025 and in our Quarterly Reports on Form 10-Q for the periods ended March 31, 2026 and June 30, 2026, which are incorporated by reference into this prospectus.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The sale of a substantial number of shares of our common stock in the public market, including the resale of the Securities issued or issuable to the selling stockholders, could adversely affect the prevailing market price for our common stock.</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are registering for resale up to 39,200,306 shares of our common stock consisting of Initial Shares and Common Warrant Shares underlying the Common Warrants issued to the selling stockholders pursuant to the Securities Purchase Agreement to fulfill our contractual obligations under the Registration Rights Agreement. Sales of substantial amounts of shares of our common stock in the public market, or the perception that such sales might occur, could adversely affect the market price of our common stock. We cannot predict if and when the selling stockholders may sell such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6" w:name="fls"/>
      <w:bookmarkEnd w:id="6"/>
      <w:r>
        <w:rPr>
          <w:rFonts w:ascii="Times New Roman" w:hAnsi="Times New Roman"/>
          <w:b/>
          <w:color w:val="000000"/>
          <w:sz w:val="18"/>
        </w:rPr>
        <w:t>FORWARD-LOOKING STATEMENTS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This prospectus contains and incorporates by reference “forward-looking statements” within the meaning of the federal securities laws. All statements other than statements of historical fact contained or incorporated by reference in this prospectus, including statements regarding our future results of operations and financial position, business strategy and plans and objectives of management for future operations, are “forward-looking statements” for the purposes of this prospectus.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Unless the context requires otherwise, references in this prospectus to “Pyxis Oncology,” the “Company,” “we,” “us,” and “our” refer to Pyxis Oncology, Inc. and its subsidiaries. In some cases, you can identify forward-looking statements by terms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ability to develop and advance our current product candidate and program, and to successfully initiate and complete clinical trials;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ability of our clinical trials to demonstrate the safety, purity and potency of our product candidate and other positive results;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size of the market opportunity for our product candidate, including our estimates of the number of patients who suffer from the cancers we are targeting;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manufacturing, commercialization and marketing capabilities and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timing or likelihood of regulatory filings and approvals for our product candidate;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regulatory developments in the United States and other foreign jurisdictions;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expectations and plans to obtain funding for our operations, including from our existing and potential future collaboration and licensing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ability to receive milestone or royalty payments under existing or future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expectations regarding our ability to obtain and maintain intellectual property protection for our product candidate;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continued reliance on third parties to manufacture our product candidate for clinical studies, and to conduct clinical trials and manufacture our product candidate for such clinical trials;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8"/>
        </w:rPr>
      </w:pPr>
      <w:r>
        <w:rPr>
          <w:rFonts w:ascii="Times New Roman" w:hAnsi="Times New Roman"/>
          <w:color w:val="000000"/>
          <w:sz w:val="18"/>
        </w:rPr>
        <w:t xml:space="preserve">our estimates regarding expenses, future revenue, capital requirements and needs for additional financing.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Furthermore, if our forward-looking statements prove to be inaccurate, the inaccuracy may be material. Factors that may cause actual results to differ materially from current expectations include, among other things, those set forth in Part I, Item 1A of our Annual Report on Form 10-K for the year ended December 31, 2025, Part II, Item 1A of our Quarterly Reports on Form 10-Q for the periods ended March 31, 2026 and June 30, 2026, and any risks contained in any other documents incorporated by reference herein.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7" w:name="useofproceeds"/>
      <w:bookmarkEnd w:id="7"/>
      <w:r>
        <w:rPr>
          <w:rFonts w:ascii="Times New Roman" w:hAnsi="Times New Roman"/>
          <w:b/>
          <w:color w:val="000000"/>
          <w:sz w:val="18"/>
        </w:rPr>
        <w:t>USE OF PROCEEDS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will not receive any proceeds from the sale of the Initial Shares by the selling stockholders.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may receive up to approximately $64.0 million of gross proceeds, before deducting placement agent fees, if the Common Warrants are exercised in full for cash. The Common Warrants may also, in whole or in part at the election of the holder, be exercised on a cashless basis, and to the extent that any Common Warrants are exercised on a cashless basis, we will not receive any proceeds from the exercise of such Common Warrants. There can be no assurance that any of the Common Warrants will be exercised, or that, if exercised, they will be exercised for cash.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We intend to use the net proceeds from any cash exercise of the Common Warrants for the continued advancement of our lead clinical program, MICVO, through key clinical milestones and for working capital and general corporate purposes.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8" w:name="sellingstakeholders"/>
      <w:bookmarkEnd w:id="8"/>
      <w:r>
        <w:rPr>
          <w:rFonts w:ascii="Times New Roman" w:hAnsi="Times New Roman"/>
          <w:b/>
          <w:color w:val="000000"/>
          <w:sz w:val="18"/>
        </w:rPr>
        <w:t>SELLING STOCKHOLDERS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The shares of common stock being offered by the selling stockholders, consisting of Initial Shares and Common Warrant Shares underlying the Common Warrants, in each case issued to the selling stockholders pursuant to the Securities Purchase Agreement, are being registered hereby to fulfill our contractual obligations under the Registration Rights Agreement. See “Summary </w:t>
      </w:r>
      <w:r>
        <w:rPr>
          <w:rFonts w:ascii="Times New Roman" w:hAnsi="Times New Roman"/>
          <w:color w:val="000000"/>
          <w:sz w:val="20"/>
        </w:rPr>
        <w:t xml:space="preserve">— </w:t>
      </w:r>
      <w:r>
        <w:rPr>
          <w:rFonts w:ascii="Times New Roman" w:hAnsi="Times New Roman"/>
          <w:color w:val="000000"/>
          <w:sz w:val="18"/>
        </w:rPr>
        <w:t>Private Placement.”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following table sets forth the number and percentage of shares of our common stock beneficially owned by the selling stockholders as of August 19, 2026, taking into account the number of shares that may be offered under this prospectus and the number and percentage of our common stock beneficially owned by the selling stockholders assuming all of the shares offered under this prospectus are sold. Beneficial ownership is determined in accordance with the rules of the SEC and includes voting or investment power with respect to shares of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All information contained in the table below and the footnotes thereto is based upon information provided to us by the selling stockholders. The information in the table below and the footnotes thereto regarding shares of our common stock to be beneficially owned after the offering under this prospectus assumes the sale of all shares of our common stock being offered by the selling stockholders under this prospectus. The percentage of shares of our common stock owned prior to and after the offering for each selling stockholder is based on 83,408,050 shares of our common stock issued and outstanding as of August 19, 2026 and assumes the exercise in full of all Common Warrants owned by such selling stockholder, but not the Common Warrants owned by any other selling stockholder. Unless otherwise indicated in the footnotes to this table, we believe that the selling stockholders have sole voting and investment power with respect to the shares of our common stock indicated as beneficially owned.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As used in this prospectus, the term “selling stockholder” includes the selling stockholders named below and any donees, pledgees, transferees or other successors-in-interest selling shares of our common stock received after the date of this prospectus from the selling stockholders as a gift, pledge, or other non-sale related transfer.</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number of shares in the column “Maximum Number of Shares of Common Stock Offered” represents all of the shares of our common stock that the selling stockholders may offer under this prospectus. The columns captioned “Ownership After Offering” assume the sale of all of the shares of our common stock offered by the selling stockholders under this prospectus and that the selling stockholder does not acquire any additional shares of our common stock before the completion of the offering under this prospectus, other than through the exercise of the Common Warrants. However, because the selling stockholders may sell all or some of the shares offered under this prospectus from time to time, or in another permitted manner, we cannot assure you as to the actual number of shares of our common stock that will be sold by the selling stockholders or that will be held by the selling stockholders after completion of any sales. The selling stockholders may sell some, all or none of the shares of our common stock offered under this prospectus. We do not know how long the selling stockholders will hold the Initial Shares or Common Warrants, whether any will exercise the Common Warrants, and upon such exercise, how long such selling stockholders will hold the shares of common stock before selling them, and we currently have no agreements, arrangements or understandings with the selling stockholders regarding the sale of any of the shares of common stock.</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Under the terms of the Common Warrants, a selling stockholder that holds Common Warrants (other than GordonMD Long Biased Master Fund LP, whose Common Warrants are not subject to any beneficial ownership limitation) may not exercise its Common Warrants to the extent such exercise would cause such selling stockholder, together with its affiliates and attribution parties, to beneficially own a number of shares of common stock that would exceed 4.99% or 9.99%, as applicable to such selling stockholder under the terms of its Common Warrants, of the number of shares of our common stock outstanding following such exercise (for purposes of the denominator, immediately after giving effect to the issuance of shares of common stock to be issued upon the applicable exercise of such Common Warrants). By written notice to the Company, a selling stockholder subject to a beneficial ownership limitation may from time to time increase or decrease its beneficial ownership limitation to any other percentage not in excess of 19.99% specified in such notice; provided that any increase in such beneficial ownership limitation will not be effective until the 61st day after such notice is delivered to the Company and shall not negatively affect any partial exercise effected prior to such change. The columns captioned “Ownership Before Offering” do not reflect each selling stockholder’s beneficial ownership limitation, if applicable.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5"/>
        <w:gridCol w:w="146"/>
        <w:gridCol w:w="166"/>
        <w:gridCol w:w="166"/>
        <w:gridCol w:w="1046"/>
        <w:gridCol w:w="146"/>
        <w:gridCol w:w="146"/>
        <w:gridCol w:w="246"/>
        <w:gridCol w:w="210"/>
        <w:gridCol w:w="737"/>
        <w:gridCol w:w="256"/>
        <w:gridCol w:w="146"/>
        <w:gridCol w:w="232"/>
        <w:gridCol w:w="232"/>
        <w:gridCol w:w="1313"/>
        <w:gridCol w:w="146"/>
        <w:gridCol w:w="146"/>
        <w:gridCol w:w="170"/>
        <w:gridCol w:w="170"/>
        <w:gridCol w:w="966"/>
        <w:gridCol w:w="146"/>
        <w:gridCol w:w="232"/>
        <w:gridCol w:w="196"/>
        <w:gridCol w:w="196"/>
        <w:gridCol w:w="568"/>
        <w:gridCol w:w="256"/>
        <w:gridCol w:w="200"/>
      </w:tblGrid>
      <w:tr>
        <w:trPr/>
        <w:tc>
          <w:tcPr>
            <w:tcW w:w="1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3" w:type="dxa"/>
            <w:gridSpan w:val="8"/>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Ownership Before Offering</w:t>
            </w:r>
          </w:p>
        </w:tc>
        <w:tc>
          <w:tcPr>
            <w:tcW w:w="25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4" w:type="dxa"/>
            <w:gridSpan w:val="8"/>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Ownership After Offering</w:t>
            </w:r>
          </w:p>
        </w:tc>
        <w:tc>
          <w:tcPr>
            <w:tcW w:w="25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5"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Selling Stockholder</w:t>
            </w:r>
          </w:p>
        </w:tc>
        <w:tc>
          <w:tcPr>
            <w:tcW w:w="146"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3"/>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Number of Shares of Common Stock Offered</w:t>
            </w:r>
          </w:p>
        </w:tc>
        <w:tc>
          <w:tcPr>
            <w:tcW w:w="146"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5"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93" w:type="dxa"/>
            <w:gridSpan w:val="3"/>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777" w:type="dxa"/>
            <w:gridSpan w:val="3"/>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625"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37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93" w:type="dxa"/>
            <w:gridSpan w:val="3"/>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777" w:type="dxa"/>
            <w:gridSpan w:val="3"/>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Biotechnology Value Fund, L.P.</w:t>
            </w:r>
            <w:r>
              <w:rPr>
                <w:rFonts w:ascii="Times New Roman" w:hAnsi="Times New Roman"/>
                <w:color w:val="000000"/>
                <w:sz w:val="12"/>
              </w:rPr>
              <w:t>(1)</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8,230,094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8,230,094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Biotechnology Value Fund II, L.P.</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6,167,694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6,167,694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Biotechnology Value Trading Fund OS LP</w:t>
            </w:r>
            <w:r>
              <w:rPr>
                <w:rFonts w:ascii="Times New Roman" w:hAnsi="Times New Roman"/>
                <w:color w:val="000000"/>
                <w:sz w:val="12"/>
              </w:rPr>
              <w:t>(3)</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1,036,560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1,036,560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MSI BVF SPV, LLC</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GordonMD Long Biased Master Fund LP</w:t>
            </w:r>
            <w:r>
              <w:rPr>
                <w:rFonts w:ascii="Times New Roman" w:hAnsi="Times New Roman"/>
                <w:color w:val="000000"/>
                <w:sz w:val="12"/>
              </w:rPr>
              <w:t>(5)</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14,924,948</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9,800,078</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5,124,870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Entities Affiliated with RTW Investments, LP</w:t>
            </w: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Coastlands Capital Partners LP</w:t>
            </w:r>
            <w:r>
              <w:rPr>
                <w:rFonts w:ascii="Times New Roman" w:hAnsi="Times New Roman"/>
                <w:color w:val="000000"/>
                <w:sz w:val="12"/>
              </w:rPr>
              <w:t>(7)</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5,880,046</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5,880,046</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Indicates beneficial ownership of less than 1% of the outstanding shares of our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
        <w:gridCol w:w="9772"/>
      </w:tblGrid>
      <w:tr>
        <w:trPr/>
        <w:tc>
          <w:tcPr>
            <w:tcW w:w="433" w:type="dxa"/>
            <w:tcBorders/>
            <w:vAlign w:val="center"/>
          </w:tcPr>
          <w:p>
            <w:pPr>
              <w:pStyle w:val="TableContents"/>
              <w:bidi w:val="0"/>
              <w:spacing w:before="0" w:after="283"/>
              <w:jc w:val="left"/>
              <w:rPr>
                <w:sz w:val="4"/>
                <w:szCs w:val="4"/>
              </w:rPr>
            </w:pPr>
            <w:r>
              <w:rPr>
                <w:sz w:val="4"/>
                <w:szCs w:val="4"/>
              </w:rPr>
            </w:r>
          </w:p>
        </w:tc>
        <w:tc>
          <w:tcPr>
            <w:tcW w:w="9772" w:type="dxa"/>
            <w:tcBorders/>
            <w:vAlign w:val="center"/>
          </w:tcPr>
          <w:p>
            <w:pPr>
              <w:pStyle w:val="TableContents"/>
              <w:bidi w:val="0"/>
              <w:spacing w:before="0" w:after="283"/>
              <w:jc w:val="left"/>
              <w:rPr>
                <w:sz w:val="4"/>
                <w:szCs w:val="4"/>
              </w:rPr>
            </w:pPr>
            <w:r>
              <w:rPr>
                <w:sz w:val="4"/>
                <w:szCs w:val="4"/>
              </w:rPr>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(1)</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4,115,047 shares of our common stock issued in the Private Placement and (ii) 4,115,047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I GP LLC is the general partner of Biotechnology Value Fund, L.P. BVF GP Holdings LLC is the sole member of BVF I GP LLC. BVF Partners L.P. serves as the investment manager of Biotechnology Value Fund, L.P. BVF Inc. is the general partner of BVF Partners L.P., and Mark N. Lampert is a director and officer of BVF Inc. Each of BVF I GP LLC, BVF GP Holdings LLC, BVF Partners L.P., BVF Inc. and Mr. Lampert may be deemed to share voting and dispositive power over the securities held by Biotechnology Value Fund, L.P. Each of BVF I GP LLC, BVF GP Holdings LLC, BVF Partners L.P., BVF Inc. and Mr. Lampert disclaims beneficial ownership of such securities except to the extent of any pecuniary interest therein. The business address of Biotechnology Value Fund, L.P., BVF I GP LLC, BVF Partners L.P., BVF Inc. and Mr. Lampert is 44 Montgomery Street, 40th Floor, San Francisco, California 94104.</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(2)</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3,083,847 shares of our common stock issued in the Private Placement and (ii) 3,083,847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II GP LLC is the general partner of Biotechnology Value Fund II, L.P. BVF GP Holdings LLC is the sole member of BVF II GP LLC. BVF Partners L.P. serves as the investment manager of Biotechnology Value Fund II, L.P. BVF Inc. is the general partner of BVF Partners L.P., and Mark N. Lampert is a director and officer of BVF Inc. Each of BVF II GP LLC, BVF GP Holdings LLC, BVF Partners L.P., BVF Inc. and Mr. Lampert may be deemed to share voting and dispositive power over the securities held by Biotechnology Value Fund II, L.P. Each of BVF II GP LLC, BVF GP Holdings LLC, BVF Partners L.P., BVF Inc. and Mr. Lampert disclaims beneficial ownership of such securities except to the extent of any pecuniary interest therein. The business address of Biotechnology Value Fund II, L.P., BVF II GP LLC, BVF Partners L.P., BVF Inc. and Mr. Lampert is 44 Montgomery Street, 40th Floor, San Francisco, California 94104.</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(3)</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 xml:space="preserve">Shares listed under “Ownership Before Offering” consist of (i) 518,280 shares of our common stock issued in the Private Placement and (ii) 518,280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Partners OS Ltd. is the general partner of Biotechnology Value Trading Fund OS LP. BVF Partners L.P. serves as the investment manager of Biotechnology Value Trading Fund OS LP. BVF Inc. is the general partner of BVF Partners L.P., and Mark N. Lampert is a director and officer of BVF Inc. Each of BVF Partners OS Ltd., BVF Partners L.P., BVF Inc. and Mr. Lampert may be deemed to share voting and dispositive power over the securities held by Biotechnology Value Trading Fund OS LP. Each of BVF Partners OS Ltd., BVF Partners L.P., BVF Inc. and Mr. Lampert disclaims beneficial ownership of such securities except to the extent of any pecuniary interest therein. The business address of Biotechnology Value Trading Fund OS LP and BVF Partners OS Ltd. is P.O. Box 309, Ugland House, Grand Cayman, KY1-1104, Cayman Islands. </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(4)</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122,888 shares of our common stock issued in the Private Placement and (ii) 122,888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Partners L.P. serves as the investment manager to MSI BVF SPV, LLC. BVF Inc. is the general partner of BVF Partners L.P., and Mark N. Lampert is a director and officer of BVF Inc. Each of BVF Partners L.P., BVF Inc. and Mr. Lampert may be deemed to share voting and dispositive power over the securities held by MSI BVF SPV, LLC. Each of BVF Partners L.P., BVF Inc. and Mr. Lampert disclaims beneficial ownership of such securities except to the extent of any pecuniary interest therein. The business address of MSI BVF SPV, LLC, BVF Partners L.P., BVF Inc. and Mr. Lampert is 44 Montgomery Street, 40th Floor, San Francisco, California 94104.</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(5)</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4,900,039 shares of our common stock issued in the Private Placement, (ii) 4,900,039 shares of our common stock underlying Common Warrants issued in the Private Placement, both of which are being registered for resale pursuant to this prospectus and (iii) 5,124,870 shares of our common stock held by GordonMD Long Biased Master Fund LP prior to the Private Placement, which are not being registered for resale pursuant to this prospectus. The Common Warrants held by GordonMD Long Biased Master Fund LP are not subject to any beneficial ownership limitation. GordonMD Global Investments LP serves as investment manager to GordonMD Long Biased Master Fund LP and may be deemed to beneficially own the securities held by GordonMD Long Biased Master Fund LP. GordonMD Long Biased GP, LLC is the general partner of GordonMD Long Biased Master Fund LP. Craig D. Gordon is the managing member of GordonMD Long Biased GP, LLC and may be deemed to share voting and dispositive power over the securities held by GordonMD Long Biased Master Fund LP. Each of GordonMD Global Investments LP, GordonMD Long Biased GP, LLC and Craig D. Gordon disclaims beneficial ownership of such securities except to the extent of any pecuniary interest therein. The business address of GordonMD Global Investments LP, GordonMD Long Biased Master Fund LP, GordonMD Long Biased GP, LLC and Craig D. Gordon is 9460 Wilshire Boulevard, Suite 420, Beverly Hills, California 90212.</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(6)</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(x) 2,019,278 shares of our common stock issued in the Private Placement and (y) 2,019,278 shares of our common stock underlying Common Warrants issued in the Private Placement, in each case held by RTW Master Fund, Ltd., (ii) (x) 1,706,961 shares of our common stock issued in the Private Placement and (y) 1,706,961 shares of our common stock underlying Common Warrants issued in the Private Placement, in each case held by RTW Innovation Master Fund, Ltd. and (iii) (x) 193,790 shares of our common stock issued in the Private Placement and (y) 193,790 shares of our common stock underlying Common Warrants issued in the Private Placement, in each case held by RTW Biotech Opportunities Operating Ltd., which securities are being registered for resale pursuant to this prospectus. The exercise of the Common Warrants is subject to a beneficial ownership limitation of 9.99% of our outstanding shares of common stock. RTW Investments, LP serves as the investment manager to RTW Master Fund, Ltd., RTW Innovation Master Fund, Ltd. and RTW Biotech Opportunities Operating Ltd. (the “RTW Funds”). Darshan Patel serves as a director of RTW Master Fund, Ltd. and RTW Innovation Master Fund, Ltd. Roderick Wong, M.D., serves as Managing Partner of RTW Investments, LP. The business address of the RTW Funds is c/o RTW Investments, LP, 40 10th Avenue, Floor 7, New York, New York 10014.</w:t>
            </w:r>
          </w:p>
          <w:p>
            <w:pPr>
              <w:pStyle w:val="TableContents"/>
              <w:bidi w:val="0"/>
              <w:ind w:left="0" w:right="0" w:firstLine="158"/>
              <w:jc w:val="both"/>
              <w:rPr/>
            </w:pPr>
            <w:r>
              <w:rPr/>
              <w:t> </w:t>
            </w:r>
          </w:p>
          <w:p>
            <w:pPr>
              <w:pStyle w:val="TableContents"/>
              <w:bidi w:val="0"/>
              <w:ind w:left="0" w:right="0" w:firstLine="158"/>
              <w:jc w:val="both"/>
              <w:rPr/>
            </w:pPr>
            <w:r>
              <w:rPr/>
              <w:t> </w:t>
            </w:r>
          </w:p>
          <w:p>
            <w:pPr>
              <w:pStyle w:val="TableContents"/>
              <w:bidi w:val="0"/>
              <w:ind w:left="0" w:right="0" w:firstLine="158"/>
              <w:jc w:val="both"/>
              <w:rPr/>
            </w:pPr>
            <w:r>
              <w:rPr/>
              <w:t> </w:t>
            </w:r>
          </w:p>
          <w:p>
            <w:pPr>
              <w:pStyle w:val="TableContents"/>
              <w:bidi w:val="0"/>
              <w:ind w:left="0" w:right="0" w:firstLine="158"/>
              <w:jc w:val="both"/>
              <w:rPr/>
            </w:pPr>
            <w:r>
              <w:rPr/>
              <w:t> </w:t>
            </w:r>
          </w:p>
          <w:p>
            <w:pPr>
              <w:pStyle w:val="TableContents"/>
              <w:bidi w:val="0"/>
              <w:spacing w:before="0" w:after="283"/>
              <w:ind w:left="0" w:right="0" w:firstLine="158"/>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
        <w:gridCol w:w="9771"/>
      </w:tblGrid>
      <w:tr>
        <w:trPr/>
        <w:tc>
          <w:tcPr>
            <w:tcW w:w="434" w:type="dxa"/>
            <w:tcBorders/>
            <w:vAlign w:val="center"/>
          </w:tcPr>
          <w:p>
            <w:pPr>
              <w:pStyle w:val="TableContents"/>
              <w:bidi w:val="0"/>
              <w:spacing w:before="0" w:after="283"/>
              <w:jc w:val="left"/>
              <w:rPr>
                <w:sz w:val="4"/>
                <w:szCs w:val="4"/>
              </w:rPr>
            </w:pPr>
            <w:r>
              <w:rPr>
                <w:sz w:val="4"/>
                <w:szCs w:val="4"/>
              </w:rPr>
            </w:r>
          </w:p>
        </w:tc>
        <w:tc>
          <w:tcPr>
            <w:tcW w:w="9771" w:type="dxa"/>
            <w:tcBorders/>
            <w:vAlign w:val="center"/>
          </w:tcPr>
          <w:p>
            <w:pPr>
              <w:pStyle w:val="TableContents"/>
              <w:bidi w:val="0"/>
              <w:spacing w:before="0" w:after="283"/>
              <w:jc w:val="left"/>
              <w:rPr>
                <w:sz w:val="4"/>
                <w:szCs w:val="4"/>
              </w:rPr>
            </w:pPr>
            <w:r>
              <w:rPr>
                <w:sz w:val="4"/>
                <w:szCs w:val="4"/>
              </w:rPr>
            </w:r>
          </w:p>
        </w:tc>
      </w:tr>
      <w:tr>
        <w:trPr/>
        <w:tc>
          <w:tcPr>
            <w:tcW w:w="434"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(7)</w:t>
            </w:r>
          </w:p>
        </w:tc>
        <w:tc>
          <w:tcPr>
            <w:tcW w:w="9771" w:type="dxa"/>
            <w:tcBorders/>
            <w:tcMar>
              <w:top w:w="0" w:type="dxa"/>
              <w:left w:w="0" w:type="dxa"/>
              <w:bottom w:w="0" w:type="dxa"/>
              <w:right w:w="0" w:type="dxa"/>
            </w:tcMar>
            <w:vAlign w:val="center"/>
          </w:tcPr>
          <w:p>
            <w:pPr>
              <w:pStyle w:val="TableContents"/>
              <w:bidi w:val="0"/>
              <w:spacing w:before="0" w:after="283"/>
              <w:ind w:left="0" w:right="0" w:firstLine="158"/>
              <w:jc w:val="both"/>
              <w:rPr>
                <w:rFonts w:ascii="Times New Roman" w:hAnsi="Times New Roman"/>
                <w:sz w:val="22"/>
              </w:rPr>
            </w:pPr>
            <w:r>
              <w:rPr>
                <w:rFonts w:ascii="Times New Roman" w:hAnsi="Times New Roman"/>
                <w:color w:val="000000"/>
                <w:sz w:val="18"/>
              </w:rPr>
              <w:t>Shares listed under “Ownership Before Offering” consist of (i) 2,940,023 shares of our common stock issued in the Private Placement and (ii) 2,940,023 shares of our common stock underlying Common Warrants issued in the Private Placement, which securities are being registered for resale pursuant to this prospectus. The exercise of the Common Warrants is subject to a beneficial ownership limitation of 4.99% of our outstanding shares of common stock. Coastlands Capital LP (“Coastlands Capital”) is the investment adviser to Coastlands Capital LP and Coastlands Capital GP LLC (“Coastlands GP”) is the general partner of Coastlands Capital. Coastlands Capital LLC (the “General Partner”, and together with Coastlands Capital, Coastlands Capital LP and Coastlands GP, the “Coastlands</w:t>
            </w:r>
            <w:r>
              <w:rPr>
                <w:rFonts w:ascii="Times New Roman" w:hAnsi="Times New Roman"/>
                <w:color w:val="000000"/>
                <w:sz w:val="22"/>
              </w:rPr>
              <w:t xml:space="preserve"> </w:t>
            </w:r>
            <w:r>
              <w:rPr>
                <w:rFonts w:ascii="Times New Roman" w:hAnsi="Times New Roman"/>
                <w:color w:val="000000"/>
                <w:sz w:val="18"/>
              </w:rPr>
              <w:t>Entities”) is the general partner of Coastlands Capital LP. Matthew D. Perry is the control person of the Coastlands Entities. The Coastlands Entities and Mr. Perry each disclaim membership in a group. The Coastlands Entities and Mr. Perry also each disclaim beneficial ownership of the shares of Common Stock except to the extent of such entity’s or person’s pecuniary interest therein. The address and principal office of the Coastlands Entities and Mr. Perry is 601 California Street, Suite 1210, San Francisco, California 94108.</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9" w:name="plandistribution"/>
      <w:bookmarkEnd w:id="9"/>
      <w:r>
        <w:rPr>
          <w:rFonts w:ascii="Times New Roman" w:hAnsi="Times New Roman"/>
          <w:b/>
          <w:color w:val="000000"/>
          <w:sz w:val="18"/>
        </w:rPr>
        <w:t>PLAN OF DISTRIBUTION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including their pledgees, donees, transferees, distributees, beneficiaries or other successors-in-interest, may from time to time offer some or all of the shares of our common stock offered under this prospectus. We will not receive any of the proceeds from the sale of the shares of our common stock offered under this prospectus by the selling stockholders. We will bear all fees and expenses incident to our obligation to register the shares of our common stock offered under this prospectus.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may sell all or a portion of the shares of our common stock beneficially owned by them and offered hereby from time to time directly or through one or more underwriters, broker-dealers or agents. If the shares of our common stock are sold through underwriters or broker-dealers, the selling stockholders will be responsible for underwriting discounts or commissions or agents’ commissions. The shares of our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privately negotiated prices. These sales may be effected in transactions, which may involve crosses or block transactions.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may use any one or more of the following methods when disposing of shares of our common stock or interests therein: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ordinary brokerage transactions and transactions in which the broker-dealer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block trades in which the broker-dealer will attempt to sell shares of our common stock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purchases by a broker-dealer as principal and resale by the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over-the-counter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exchange distribution in accordance with the rules of the applicable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short sales effected after the effective date of the registration statement of which this prospectus forms a part;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broker-dealers may agree with the selling stockholders to sell a specified number of such shares at a stipulated price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combination of any such methods of sale;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other method permitted pursuant to applicable law.</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may, from time to time, pledge or grant a security interest in some or all of the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the list of selling stockholders to include the pledgee, transferee, or other successors-in-interest as a selling stockholder under this prospectus. The selling stockholders also may transfer the shares of our common stock in other circumstances, in which case the transferees, pledgees or other successors-in-interest will be the selling beneficial owners for purposes of this prospectus.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connection with the sale of shares of our common stock or interests therein, the selling stockholders may enter into hedging transactions with broker-dealers or other financial institutions, which may in turn engage in short sales of shares of our common stock in the course of hedging the positions they assume. The selling stockholders may also sell shares of our common stock short and deliver these securities to close out their short positions, or loan or pledge the shares of our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 our common stock offered under this prospectus, which shares of our common stock such broker-dealer or other financial institution may resell pursuant to this prospectus (as supplemented or amended to reflect such transaction).</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Broker-dealers engaged by the selling stockholders may arrange for other broker-dealers to participate in sales. If the selling stockholders effect certain transactions by selling shares of our common stock to or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rules of the Financial Industry Regulatory Authority, Inc. (“FINRA”); and in the case of a principal transaction a markup or markdown in compliance with applicable FINRA rules.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aggregate proceeds to the selling stockholders from the sale of the shares of our common stock offered under this prospectus will be the purchase price of the shares of common stock less discounts or commissions, if any. The selling stockholders reserve the right to accept and, together with their agents from time to time, to reject, in whole or in part, any proposed purchase of shares of our common stock to be made directly or through agents. We will not receive any of the proceeds from the offering of common stock under this prospectus.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also may resell all or a portion of the shares of our common stock offered under this prospectus in open market transactions in reliance upon Rule 144 under the Securities Act, provided that they meet the criteria and conform to the requirements of that rule.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and any underwriters, broker-dealers or agents that participate in the sale of the shares of our common stock or interests therein may be deemed to be “underwriters” within the meaning of Section 2(a)(11) of the Securities Act. Any discounts, commissions, concessions or profit they earn on any resale of the shares of our common stock may be underwriting discounts and commissions under the Securities Act. Each selling stockholder has informed us that it does not have any written or oral agreement or understanding, directly or indirectly, with any person to distribute the securities. The selling stockholders are subject to the prospectus delivery requirements of the Securities Act.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To the extent required pursuant to Rule 424(b) under the Securities Act, the shares of our common stock to be sold, the names of the selling stockholders, the purchase price and public offering price,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agreed with the selling stockholders to use commercially reasonable efforts to cause the registration statement of which this prospectus constitutes a part to become effective and to remain continuously effective until the earlier of : (i) the date on which the selling stockholders shall have resold or otherwise disposed of all the Securities covered hereby; and (ii) the date on which the Securities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as set forth in a written opinion letter to such effect, addressed, delivered and acceptable to our transfer agent and the affected holders. In order to comply with the securities laws of some states, if applicable, the shares of our common stock may be sold in these jurisdictions only through registered or licensed brokers or dealers. In addition, in some states the shares of our common stock may not be sold unless the shares have been registered or qualified for sale or an exemption from registration or qualification requirements is available and is complied with.</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and any other person participating in a sale of shares of our common stock registered under this prospectus will be subject to applicable provisions of the Exchange Act, and the rules and regulations thereunder, including, without limitation, to the extent applicable, Regulation M of the Exchange Act, which may limit the timing of purchases and sales of any of the shares of our common stock by the selling stockholders and any other participating person. All of the foregoing may affect the marketability of the shares of our common stock and the ability of any person or entity to engage in market-making activities with respect to the shares of our common stock.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of our common stock against certain liabilities, including liabilities arising under the Securities Act.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bookmarkStart w:id="10" w:name="legalmatters"/>
      <w:bookmarkEnd w:id="10"/>
      <w:r>
        <w:rPr>
          <w:rFonts w:ascii="Times New Roman" w:hAnsi="Times New Roman"/>
          <w:b/>
          <w:color w:val="000000"/>
          <w:sz w:val="18"/>
        </w:rPr>
        <w:t>LEGAL MATTERS</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The validity of the securities being offered hereby will be passed upon for us by Sidley Austin LLP, New York, New York.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1" w:name="expert"/>
      <w:bookmarkEnd w:id="11"/>
      <w:r>
        <w:rPr>
          <w:rFonts w:ascii="Times New Roman" w:hAnsi="Times New Roman"/>
          <w:b/>
          <w:color w:val="000000"/>
          <w:sz w:val="18"/>
        </w:rPr>
        <w:t>EXPERTS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consolidated financial statements of Pyxis Oncology, Inc. appearing in Pyxis Oncology,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pStyle w:val="TextBody"/>
        <w:bidi w:val="0"/>
        <w:jc w:val="both"/>
        <w:rPr>
          <w:rFonts w:ascii="Times New Roman" w:hAnsi="Times New Roman"/>
          <w:sz w:val="20"/>
        </w:rPr>
      </w:pPr>
      <w:r>
        <w:rPr>
          <w:rFonts w:ascii="Times New Roman" w:hAnsi="Times New Roman"/>
          <w:color w:val="000000"/>
          <w:sz w:val="18"/>
        </w:rPr>
        <w:br/>
      </w:r>
      <w:r>
        <w:rPr>
          <w:rFonts w:ascii="Times New Roman" w:hAnsi="Times New Roman"/>
          <w:color w:val="000000"/>
          <w:sz w:val="20"/>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2" w:name="findmoreinformation"/>
      <w:bookmarkEnd w:id="12"/>
      <w:r>
        <w:rPr>
          <w:rFonts w:ascii="Times New Roman" w:hAnsi="Times New Roman"/>
          <w:b/>
          <w:color w:val="000000"/>
          <w:sz w:val="18"/>
        </w:rPr>
        <w:t>WHERE YOU CAN FIND MORE INFORMATION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any applicable prospectus supplement, you should read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file annual, quarterly and current reports, proxy statements and other documents with the SEC under the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www.pyxisoncology.com. Our website and the information contained or accessible through our website are not incorporated by reference in this prospectus or any prospectus supplement, and you should not consider them part of this prospectus or any prospectus supplement.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3" w:name="informationcorporate"/>
      <w:bookmarkEnd w:id="13"/>
      <w:r>
        <w:rPr>
          <w:rFonts w:ascii="Times New Roman" w:hAnsi="Times New Roman"/>
          <w:b/>
          <w:color w:val="000000"/>
          <w:sz w:val="18"/>
        </w:rPr>
        <w:t>INFORMATION INCORPORATED BY REFERENCE</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 No. 001-40881), other than information in such documents that is deemed to be furnished and not filed. These documents contain important information about us and our business and financial condition.</w:t>
      </w:r>
    </w:p>
    <w:p>
      <w:pPr>
        <w:pStyle w:val="TextBody"/>
        <w:bidi w:val="0"/>
        <w:jc w:val="both"/>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Annual Report on </w:t>
      </w:r>
      <w:hyperlink r:id="rId3">
        <w:r>
          <w:rPr>
            <w:rStyle w:val="InternetLink"/>
            <w:rFonts w:ascii="Times New Roman" w:hAnsi="Times New Roman"/>
            <w:color w:val="0000FF"/>
            <w:sz w:val="18"/>
            <w:u w:val="single"/>
          </w:rPr>
          <w:t>Form 10-K</w:t>
        </w:r>
      </w:hyperlink>
      <w:r>
        <w:rPr>
          <w:color w:val="000000"/>
        </w:rPr>
        <w:t xml:space="preserve"> </w:t>
      </w:r>
      <w:r>
        <w:rPr>
          <w:rFonts w:ascii="Times New Roman" w:hAnsi="Times New Roman"/>
          <w:color w:val="000000"/>
          <w:sz w:val="18"/>
        </w:rPr>
        <w:t>for the year ended December 31, 2025, filed with the SEC on March 23,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The information contained in our definitive proxy statement on </w:t>
      </w:r>
      <w:hyperlink r:id="rId4">
        <w:r>
          <w:rPr>
            <w:rStyle w:val="InternetLink"/>
            <w:rFonts w:ascii="Times New Roman" w:hAnsi="Times New Roman"/>
            <w:color w:val="0000FF"/>
            <w:sz w:val="18"/>
            <w:u w:val="single"/>
          </w:rPr>
          <w:t>Schedule 14A</w:t>
        </w:r>
      </w:hyperlink>
      <w:r>
        <w:rPr>
          <w:color w:val="000000"/>
        </w:rPr>
        <w:t xml:space="preserve"> </w:t>
      </w:r>
      <w:r>
        <w:rPr>
          <w:rFonts w:ascii="Times New Roman" w:hAnsi="Times New Roman"/>
          <w:color w:val="000000"/>
          <w:sz w:val="18"/>
        </w:rPr>
        <w:t>for our 2026 annual meeting of stockholders filed with the SEC on April 30, 2026, to the extent incorporated by reference in Part III of the Form 10-K;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Quarterly Report on </w:t>
      </w:r>
      <w:hyperlink r:id="rId5">
        <w:r>
          <w:rPr>
            <w:rStyle w:val="InternetLink"/>
            <w:rFonts w:ascii="Times New Roman" w:hAnsi="Times New Roman"/>
            <w:color w:val="0000FF"/>
            <w:sz w:val="18"/>
            <w:u w:val="single"/>
          </w:rPr>
          <w:t>Form 10-Q</w:t>
        </w:r>
      </w:hyperlink>
      <w:r>
        <w:rPr>
          <w:color w:val="000000"/>
        </w:rPr>
        <w:t xml:space="preserve"> </w:t>
      </w:r>
      <w:r>
        <w:rPr>
          <w:rFonts w:ascii="Times New Roman" w:hAnsi="Times New Roman"/>
          <w:color w:val="000000"/>
          <w:sz w:val="18"/>
        </w:rPr>
        <w:t>for the period ended March 31, 2026, filed with the SEC on May 14,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Quarterly Report on </w:t>
      </w:r>
      <w:hyperlink r:id="rId6">
        <w:r>
          <w:rPr>
            <w:rStyle w:val="InternetLink"/>
            <w:rFonts w:ascii="Times New Roman" w:hAnsi="Times New Roman"/>
            <w:color w:val="0000FF"/>
            <w:sz w:val="18"/>
            <w:u w:val="single"/>
          </w:rPr>
          <w:t>Form 10-Q</w:t>
        </w:r>
      </w:hyperlink>
      <w:hyperlink r:id="rId7">
        <w:r>
          <w:rPr>
            <w:rStyle w:val="InternetLink"/>
            <w:color w:val="0000FF"/>
          </w:rPr>
          <w:t xml:space="preserve"> </w:t>
        </w:r>
      </w:hyperlink>
      <w:r>
        <w:rPr>
          <w:rFonts w:ascii="Times New Roman" w:hAnsi="Times New Roman"/>
          <w:color w:val="000000"/>
          <w:sz w:val="18"/>
        </w:rPr>
        <w:t>for the period ended June 30, 2026, filed with the SEC on August 13,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Our Current Reports on Form 8-K filed on </w:t>
      </w:r>
      <w:hyperlink r:id="rId8">
        <w:r>
          <w:rPr>
            <w:rStyle w:val="InternetLink"/>
            <w:rFonts w:ascii="Times New Roman" w:hAnsi="Times New Roman"/>
            <w:color w:val="0000FF"/>
            <w:sz w:val="18"/>
            <w:u w:val="single"/>
          </w:rPr>
          <w:t>February 6, 2026</w:t>
        </w:r>
      </w:hyperlink>
      <w:r>
        <w:rPr>
          <w:color w:val="0000FF"/>
        </w:rPr>
        <w:t xml:space="preserve"> </w:t>
      </w:r>
      <w:r>
        <w:rPr>
          <w:rFonts w:ascii="Times New Roman" w:hAnsi="Times New Roman"/>
          <w:color w:val="0000FF"/>
          <w:sz w:val="18"/>
          <w:u w:val="single"/>
        </w:rPr>
        <w:t>(Item 5.02 only)</w:t>
      </w:r>
      <w:r>
        <w:rPr>
          <w:rFonts w:ascii="Times New Roman" w:hAnsi="Times New Roman"/>
          <w:color w:val="000000"/>
          <w:sz w:val="18"/>
        </w:rPr>
        <w:t xml:space="preserve">, </w:t>
      </w:r>
      <w:hyperlink r:id="rId9">
        <w:r>
          <w:rPr>
            <w:rStyle w:val="InternetLink"/>
            <w:rFonts w:ascii="Times New Roman" w:hAnsi="Times New Roman"/>
            <w:color w:val="0000FF"/>
            <w:sz w:val="18"/>
            <w:u w:val="single"/>
          </w:rPr>
          <w:t>June 15, 2026</w:t>
        </w:r>
      </w:hyperlink>
      <w:r>
        <w:rPr>
          <w:rFonts w:ascii="Times New Roman" w:hAnsi="Times New Roman"/>
          <w:color w:val="000000"/>
          <w:sz w:val="18"/>
        </w:rPr>
        <w:t xml:space="preserve">, </w:t>
      </w:r>
      <w:hyperlink r:id="rId10">
        <w:r>
          <w:rPr>
            <w:rStyle w:val="InternetLink"/>
            <w:rFonts w:ascii="Times New Roman" w:hAnsi="Times New Roman"/>
            <w:color w:val="0000FF"/>
            <w:sz w:val="18"/>
            <w:u w:val="single"/>
          </w:rPr>
          <w:t>July 2, 2026</w:t>
        </w:r>
      </w:hyperlink>
      <w:r>
        <w:rPr>
          <w:color w:val="000000"/>
          <w:u w:val="single"/>
        </w:rPr>
        <w:t xml:space="preserve"> </w:t>
      </w:r>
      <w:r>
        <w:rPr>
          <w:rFonts w:ascii="Times New Roman" w:hAnsi="Times New Roman"/>
          <w:color w:val="0000FF"/>
          <w:sz w:val="18"/>
          <w:u w:val="single"/>
        </w:rPr>
        <w:t>(Items 1.01 and 3.02 only)</w:t>
      </w:r>
      <w:r>
        <w:rPr>
          <w:color w:val="000000"/>
        </w:rPr>
        <w:t xml:space="preserve"> </w:t>
      </w:r>
      <w:r>
        <w:rPr>
          <w:rFonts w:ascii="Times New Roman" w:hAnsi="Times New Roman"/>
          <w:color w:val="000000"/>
          <w:sz w:val="18"/>
        </w:rPr>
        <w:t xml:space="preserve">and on Form 8-K/A filed on </w:t>
      </w:r>
      <w:hyperlink r:id="rId11">
        <w:r>
          <w:rPr>
            <w:rStyle w:val="InternetLink"/>
            <w:rFonts w:ascii="Times New Roman" w:hAnsi="Times New Roman"/>
            <w:color w:val="0000FF"/>
            <w:sz w:val="18"/>
            <w:u w:val="single"/>
          </w:rPr>
          <w:t>April 30, 2026</w:t>
        </w:r>
      </w:hyperlink>
      <w:r>
        <w:rPr>
          <w:rFonts w:ascii="Times New Roman" w:hAnsi="Times New Roman"/>
          <w:color w:val="000000"/>
          <w:sz w:val="18"/>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The description of our common stock contained in our Registration Statement on </w:t>
      </w:r>
      <w:hyperlink r:id="rId12">
        <w:r>
          <w:rPr>
            <w:rStyle w:val="InternetLink"/>
            <w:rFonts w:ascii="Times New Roman" w:hAnsi="Times New Roman"/>
            <w:color w:val="0000FF"/>
            <w:sz w:val="18"/>
            <w:u w:val="single"/>
          </w:rPr>
          <w:t>Form 8-A</w:t>
        </w:r>
      </w:hyperlink>
      <w:r>
        <w:rPr>
          <w:rFonts w:ascii="Times New Roman" w:hAnsi="Times New Roman"/>
          <w:color w:val="000000"/>
          <w:sz w:val="18"/>
        </w:rPr>
        <w:t>, filed with the SEC on October 5, 2021, and any other amendment or report filed for the purpose of updating such description.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You can obtain any of the filings incorporated by reference into this prospectus or any applicable prospectus supplement through us or from the SEC through the SEC’s website at http://www.sec.gov. Upon written or oral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Pyxis Oncology, Inc.</w:t>
      </w:r>
    </w:p>
    <w:p>
      <w:pPr>
        <w:pStyle w:val="TextBody"/>
        <w:bidi w:val="0"/>
        <w:jc w:val="center"/>
        <w:rPr>
          <w:rFonts w:ascii="Times New Roman" w:hAnsi="Times New Roman"/>
          <w:color w:val="000000"/>
          <w:sz w:val="18"/>
        </w:rPr>
      </w:pPr>
      <w:r>
        <w:rPr>
          <w:rFonts w:ascii="Times New Roman" w:hAnsi="Times New Roman"/>
          <w:color w:val="000000"/>
          <w:sz w:val="18"/>
        </w:rPr>
        <w:t>321 Harrison Avenue</w:t>
      </w:r>
    </w:p>
    <w:p>
      <w:pPr>
        <w:pStyle w:val="TextBody"/>
        <w:bidi w:val="0"/>
        <w:jc w:val="center"/>
        <w:rPr>
          <w:rFonts w:ascii="Times New Roman" w:hAnsi="Times New Roman"/>
          <w:color w:val="000000"/>
          <w:sz w:val="18"/>
        </w:rPr>
      </w:pPr>
      <w:r>
        <w:rPr>
          <w:rFonts w:ascii="Times New Roman" w:hAnsi="Times New Roman"/>
          <w:color w:val="000000"/>
          <w:sz w:val="18"/>
        </w:rPr>
        <w:t>Boston, Massachusetts 02118</w:t>
      </w:r>
    </w:p>
    <w:p>
      <w:pPr>
        <w:pStyle w:val="TextBody"/>
        <w:bidi w:val="0"/>
        <w:jc w:val="center"/>
        <w:rPr>
          <w:rFonts w:ascii="Times New Roman" w:hAnsi="Times New Roman"/>
          <w:color w:val="000000"/>
          <w:sz w:val="18"/>
        </w:rPr>
      </w:pPr>
      <w:r>
        <w:rPr>
          <w:rFonts w:ascii="Times New Roman" w:hAnsi="Times New Roman"/>
          <w:color w:val="000000"/>
          <w:sz w:val="18"/>
        </w:rPr>
        <w:t>(617) 453-3596</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Our reports and documents incorporated by reference herein may also be found in the “Investors” section of our website at https://pyxisoncology.com. The content of our website and any information that is linked to or accessible from our website (other than our filings with the SEC that are incorporated by reference, as set forth in this section) are not incorporated by reference into this prospectus or any applicable prospectus supplement and you should not consider them a part of this prospectus, any applicable prospectus supplement, or the registration statement.</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Up to 39,200,306 Shares of Common Stock Offered by the Selling Stockholders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438275"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438275" cy="6953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August 28, 2026</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782223/000119312526118532/pyxs-20251231.htm" TargetMode="External"/><Relationship Id="rId4" Type="http://schemas.openxmlformats.org/officeDocument/2006/relationships/hyperlink" Target="https://www.sec.gov/Archives/edgar/data/1782223/000119312526194032/2026_pyxs-14a.htm" TargetMode="External"/><Relationship Id="rId5" Type="http://schemas.openxmlformats.org/officeDocument/2006/relationships/hyperlink" Target="https://www.sec.gov/ix?doc=/Archives/edgar/data/0001782223/000119312526222843/pyxs-20260331.htm" TargetMode="External"/><Relationship Id="rId6" Type="http://schemas.openxmlformats.org/officeDocument/2006/relationships/hyperlink" Target="https://www.sec.gov/ix?doc=/Archives/edgar/data/0001782223/000119312526347913/pyxs-20260630.htm" TargetMode="External"/><Relationship Id="rId7" Type="http://schemas.openxmlformats.org/officeDocument/2006/relationships/hyperlink" Target="https://www.sec.gov/ix?doc=/Archives/edgar/data/0001782223/000119312526347913/pyxs-20260630.htm" TargetMode="External"/><Relationship Id="rId8" Type="http://schemas.openxmlformats.org/officeDocument/2006/relationships/hyperlink" Target="https://www.sec.gov/ix?doc=/Archives/edgar/data/0001782223/000119312526041169/pyxs-20260206.htm" TargetMode="External"/><Relationship Id="rId9" Type="http://schemas.openxmlformats.org/officeDocument/2006/relationships/hyperlink" Target="https://www.sec.gov/ix?doc=/Archives/edgar/data/0001782223/000119312526271137/pyxs-20260615.htm" TargetMode="External"/><Relationship Id="rId10" Type="http://schemas.openxmlformats.org/officeDocument/2006/relationships/hyperlink" Target="https://www.sec.gov/ix?doc=/Archives/edgar/data/0001782223/000119312526294613/pyxs-20260630.htm" TargetMode="External"/><Relationship Id="rId11" Type="http://schemas.openxmlformats.org/officeDocument/2006/relationships/hyperlink" Target="https://www.sec.gov/ix?doc=/Archives/edgar/data/0001782223/000119312526193940/pyxs-20260206.htm" TargetMode="External"/><Relationship Id="rId12" Type="http://schemas.openxmlformats.org/officeDocument/2006/relationships/hyperlink" Target="https://www.sec.gov/Archives/edgar/data/1782223/000119312521292187/d223177d8a12b.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9848</Words>
  <Characters>52902</Characters>
  <CharactersWithSpaces>62927</CharactersWithSpaces>
  <Paragraphs>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